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248F" w14:textId="77777777" w:rsidR="007760FD" w:rsidRDefault="007760FD" w:rsidP="00B63513">
      <w:pPr>
        <w:spacing w:after="120"/>
        <w:jc w:val="center"/>
        <w:rPr>
          <w:rFonts w:ascii="Arial" w:hAnsi="Arial" w:cs="Arial"/>
          <w:b/>
          <w:bCs/>
          <w:sz w:val="22"/>
        </w:rPr>
      </w:pPr>
    </w:p>
    <w:p w14:paraId="5E16C20E" w14:textId="198CC356" w:rsidR="00261F69" w:rsidRPr="00B63513" w:rsidRDefault="00C53C8A" w:rsidP="00B63513">
      <w:pPr>
        <w:spacing w:after="120"/>
        <w:jc w:val="center"/>
        <w:rPr>
          <w:rFonts w:ascii="Arial" w:hAnsi="Arial" w:cs="Arial"/>
          <w:b/>
          <w:bCs/>
          <w:sz w:val="22"/>
        </w:rPr>
      </w:pPr>
      <w:r>
        <w:rPr>
          <w:rFonts w:ascii="Arial" w:hAnsi="Arial" w:cs="Arial"/>
          <w:b/>
          <w:bCs/>
          <w:sz w:val="22"/>
        </w:rPr>
        <w:t>Ten</w:t>
      </w:r>
      <w:r w:rsidR="00FA6012" w:rsidRPr="00B63513">
        <w:rPr>
          <w:rFonts w:ascii="Arial" w:hAnsi="Arial" w:cs="Arial"/>
          <w:b/>
          <w:bCs/>
          <w:sz w:val="22"/>
        </w:rPr>
        <w:t xml:space="preserve"> Tips For Transferring Contractual Risk</w:t>
      </w:r>
    </w:p>
    <w:p w14:paraId="2A95400B" w14:textId="1DD425F6" w:rsidR="00FA6012" w:rsidRPr="00B63513" w:rsidRDefault="008C1608" w:rsidP="001D3FFF">
      <w:pPr>
        <w:spacing w:after="120"/>
        <w:rPr>
          <w:rFonts w:ascii="Arial" w:hAnsi="Arial" w:cs="Arial"/>
          <w:sz w:val="22"/>
        </w:rPr>
      </w:pPr>
      <w:r w:rsidRPr="00B63513">
        <w:rPr>
          <w:rFonts w:ascii="Arial" w:hAnsi="Arial" w:cs="Arial"/>
          <w:sz w:val="22"/>
        </w:rPr>
        <w:t xml:space="preserve">The </w:t>
      </w:r>
      <w:r w:rsidR="005F5211" w:rsidRPr="00B63513">
        <w:rPr>
          <w:rFonts w:ascii="Arial" w:hAnsi="Arial" w:cs="Arial"/>
          <w:sz w:val="22"/>
        </w:rPr>
        <w:t>“</w:t>
      </w:r>
      <w:hyperlink r:id="rId6" w:history="1">
        <w:r w:rsidR="000354B1" w:rsidRPr="00B63513">
          <w:rPr>
            <w:rStyle w:val="Hyperlink"/>
            <w:rFonts w:ascii="Arial" w:hAnsi="Arial" w:cs="Arial"/>
            <w:sz w:val="22"/>
          </w:rPr>
          <w:t xml:space="preserve">Contractual Risk Transfer” </w:t>
        </w:r>
        <w:r w:rsidR="005F5211" w:rsidRPr="00B63513">
          <w:rPr>
            <w:rStyle w:val="Hyperlink"/>
            <w:rFonts w:ascii="Arial" w:hAnsi="Arial" w:cs="Arial"/>
            <w:sz w:val="22"/>
          </w:rPr>
          <w:t>M</w:t>
        </w:r>
        <w:r w:rsidR="000354B1" w:rsidRPr="00B63513">
          <w:rPr>
            <w:rStyle w:val="Hyperlink"/>
            <w:rFonts w:ascii="Arial" w:hAnsi="Arial" w:cs="Arial"/>
            <w:sz w:val="22"/>
          </w:rPr>
          <w:t>anual</w:t>
        </w:r>
      </w:hyperlink>
      <w:r w:rsidR="000354B1" w:rsidRPr="00B63513">
        <w:rPr>
          <w:rFonts w:ascii="Arial" w:hAnsi="Arial" w:cs="Arial"/>
          <w:sz w:val="22"/>
        </w:rPr>
        <w:t xml:space="preserve"> on PERM</w:t>
      </w:r>
      <w:r w:rsidR="00B63513" w:rsidRPr="00B63513">
        <w:rPr>
          <w:rFonts w:ascii="Arial" w:hAnsi="Arial" w:cs="Arial"/>
          <w:sz w:val="22"/>
        </w:rPr>
        <w:t>A</w:t>
      </w:r>
      <w:r w:rsidR="000354B1" w:rsidRPr="00B63513">
        <w:rPr>
          <w:rFonts w:ascii="Arial" w:hAnsi="Arial" w:cs="Arial"/>
          <w:sz w:val="22"/>
        </w:rPr>
        <w:t>’s web</w:t>
      </w:r>
      <w:r w:rsidR="005802E2">
        <w:rPr>
          <w:rFonts w:ascii="Arial" w:hAnsi="Arial" w:cs="Arial"/>
          <w:sz w:val="22"/>
        </w:rPr>
        <w:t>site</w:t>
      </w:r>
      <w:r w:rsidR="000354B1" w:rsidRPr="00B63513">
        <w:rPr>
          <w:rFonts w:ascii="Arial" w:hAnsi="Arial" w:cs="Arial"/>
          <w:sz w:val="22"/>
        </w:rPr>
        <w:t xml:space="preserve"> </w:t>
      </w:r>
      <w:r w:rsidR="00C95A2E" w:rsidRPr="00B63513">
        <w:rPr>
          <w:rFonts w:ascii="Arial" w:hAnsi="Arial" w:cs="Arial"/>
          <w:sz w:val="22"/>
        </w:rPr>
        <w:t xml:space="preserve">provides a significant amount of information on </w:t>
      </w:r>
      <w:r w:rsidR="00172FF7" w:rsidRPr="00B63513">
        <w:rPr>
          <w:rFonts w:ascii="Arial" w:hAnsi="Arial" w:cs="Arial"/>
          <w:sz w:val="22"/>
        </w:rPr>
        <w:t xml:space="preserve">risk transfer. </w:t>
      </w:r>
      <w:r w:rsidR="001D3FFF" w:rsidRPr="00B63513">
        <w:rPr>
          <w:rFonts w:ascii="Arial" w:hAnsi="Arial" w:cs="Arial"/>
          <w:sz w:val="22"/>
        </w:rPr>
        <w:t xml:space="preserve">The </w:t>
      </w:r>
      <w:r w:rsidR="00172FF7" w:rsidRPr="00B63513">
        <w:rPr>
          <w:rFonts w:ascii="Arial" w:hAnsi="Arial" w:cs="Arial"/>
          <w:sz w:val="22"/>
        </w:rPr>
        <w:t>manual explains how to establish insurance requirements for most contracts, including those with contractors, professional service providers, tenants, vendors, and users of public property, and how to verify their compliance with those requirements during the term of the contract</w:t>
      </w:r>
      <w:r w:rsidR="001D3FFF" w:rsidRPr="00B63513">
        <w:rPr>
          <w:rFonts w:ascii="Arial" w:hAnsi="Arial" w:cs="Arial"/>
          <w:sz w:val="22"/>
        </w:rPr>
        <w:t xml:space="preserve">. </w:t>
      </w:r>
      <w:r w:rsidR="00C855C3" w:rsidRPr="00B63513">
        <w:rPr>
          <w:rFonts w:ascii="Arial" w:hAnsi="Arial" w:cs="Arial"/>
          <w:sz w:val="22"/>
        </w:rPr>
        <w:t xml:space="preserve">Below are </w:t>
      </w:r>
      <w:r w:rsidR="005D01C5" w:rsidRPr="00B63513">
        <w:rPr>
          <w:rFonts w:ascii="Arial" w:hAnsi="Arial" w:cs="Arial"/>
          <w:sz w:val="22"/>
        </w:rPr>
        <w:t xml:space="preserve">basic tips </w:t>
      </w:r>
      <w:r w:rsidR="00E84D1D" w:rsidRPr="00B63513">
        <w:rPr>
          <w:rFonts w:ascii="Arial" w:hAnsi="Arial" w:cs="Arial"/>
          <w:sz w:val="22"/>
        </w:rPr>
        <w:t>to</w:t>
      </w:r>
      <w:r w:rsidR="005D01C5" w:rsidRPr="00B63513">
        <w:rPr>
          <w:rFonts w:ascii="Arial" w:hAnsi="Arial" w:cs="Arial"/>
          <w:sz w:val="22"/>
        </w:rPr>
        <w:t xml:space="preserve"> follow. </w:t>
      </w:r>
    </w:p>
    <w:p w14:paraId="7EF99A21" w14:textId="572657C1" w:rsidR="00FA6012" w:rsidRPr="00B63513" w:rsidRDefault="00FA6012" w:rsidP="00FA6012">
      <w:pPr>
        <w:spacing w:after="120"/>
        <w:rPr>
          <w:rFonts w:ascii="Arial" w:hAnsi="Arial" w:cs="Arial"/>
          <w:sz w:val="22"/>
          <w:u w:val="single"/>
        </w:rPr>
      </w:pPr>
      <w:r w:rsidRPr="00B63513">
        <w:rPr>
          <w:rFonts w:ascii="Arial" w:hAnsi="Arial" w:cs="Arial"/>
          <w:sz w:val="22"/>
          <w:u w:val="single"/>
        </w:rPr>
        <w:t>Tip 1 – Indemnity and Hold Harmless Language</w:t>
      </w:r>
    </w:p>
    <w:p w14:paraId="5155DDC9" w14:textId="6102709F" w:rsidR="00FA6012" w:rsidRPr="00B63513" w:rsidRDefault="00FA6012" w:rsidP="00FA6012">
      <w:pPr>
        <w:spacing w:after="120"/>
        <w:rPr>
          <w:rFonts w:ascii="Arial" w:hAnsi="Arial" w:cs="Arial"/>
          <w:sz w:val="22"/>
        </w:rPr>
      </w:pPr>
      <w:r w:rsidRPr="00B63513">
        <w:rPr>
          <w:rFonts w:ascii="Arial" w:hAnsi="Arial" w:cs="Arial"/>
          <w:sz w:val="22"/>
        </w:rPr>
        <w:t xml:space="preserve">An indemnification and hold harmless agreement </w:t>
      </w:r>
      <w:proofErr w:type="gramStart"/>
      <w:r w:rsidRPr="00B63513">
        <w:rPr>
          <w:rFonts w:ascii="Arial" w:hAnsi="Arial" w:cs="Arial"/>
          <w:sz w:val="22"/>
        </w:rPr>
        <w:t>represents</w:t>
      </w:r>
      <w:proofErr w:type="gramEnd"/>
      <w:r w:rsidRPr="00B63513">
        <w:rPr>
          <w:rFonts w:ascii="Arial" w:hAnsi="Arial" w:cs="Arial"/>
          <w:sz w:val="22"/>
        </w:rPr>
        <w:t xml:space="preserve"> the core of contractual risk transfer by placing the legal and financial obligation on a contractor (vendor). Indemnification also replaces the contracting party </w:t>
      </w:r>
      <w:r w:rsidR="00A20DDC" w:rsidRPr="00B63513">
        <w:rPr>
          <w:rFonts w:ascii="Arial" w:hAnsi="Arial" w:cs="Arial"/>
          <w:sz w:val="22"/>
        </w:rPr>
        <w:t xml:space="preserve">(agency) </w:t>
      </w:r>
      <w:r w:rsidRPr="00B63513">
        <w:rPr>
          <w:rFonts w:ascii="Arial" w:hAnsi="Arial" w:cs="Arial"/>
          <w:sz w:val="22"/>
        </w:rPr>
        <w:t xml:space="preserve">as the financial source for legal liability. </w:t>
      </w:r>
      <w:r w:rsidR="009D711B" w:rsidRPr="00B63513">
        <w:rPr>
          <w:rFonts w:ascii="Arial" w:hAnsi="Arial" w:cs="Arial"/>
          <w:sz w:val="22"/>
        </w:rPr>
        <w:t>The written indemnity clause in the contract is the real trigger for coverage as your contract, under normal circumstances, is an “Insured Contract” as defined under the Commercial General Liability policy (CGL).</w:t>
      </w:r>
    </w:p>
    <w:p w14:paraId="63EEC783" w14:textId="04862BDB" w:rsidR="00FA6012" w:rsidRPr="00B63513" w:rsidRDefault="00FA6012" w:rsidP="000A21E3">
      <w:pPr>
        <w:spacing w:after="120"/>
        <w:rPr>
          <w:rFonts w:ascii="Arial" w:hAnsi="Arial" w:cs="Arial"/>
          <w:sz w:val="22"/>
          <w:u w:val="single"/>
        </w:rPr>
      </w:pPr>
      <w:r w:rsidRPr="00B63513">
        <w:rPr>
          <w:rFonts w:ascii="Arial" w:hAnsi="Arial" w:cs="Arial"/>
          <w:sz w:val="22"/>
          <w:u w:val="single"/>
        </w:rPr>
        <w:t>Tip</w:t>
      </w:r>
      <w:r w:rsidR="006B4386" w:rsidRPr="00B63513">
        <w:rPr>
          <w:rFonts w:ascii="Arial" w:hAnsi="Arial" w:cs="Arial"/>
          <w:sz w:val="22"/>
          <w:u w:val="single"/>
        </w:rPr>
        <w:t xml:space="preserve"> 2 </w:t>
      </w:r>
      <w:r w:rsidR="00C53C8A" w:rsidRPr="00B63513">
        <w:rPr>
          <w:rFonts w:ascii="Arial" w:hAnsi="Arial" w:cs="Arial"/>
          <w:sz w:val="22"/>
          <w:u w:val="single"/>
        </w:rPr>
        <w:t>–</w:t>
      </w:r>
      <w:r w:rsidR="00C53C8A">
        <w:rPr>
          <w:rFonts w:ascii="Arial" w:hAnsi="Arial" w:cs="Arial"/>
          <w:sz w:val="22"/>
          <w:u w:val="single"/>
        </w:rPr>
        <w:t xml:space="preserve"> </w:t>
      </w:r>
      <w:r w:rsidRPr="00B63513">
        <w:rPr>
          <w:rFonts w:ascii="Arial" w:hAnsi="Arial" w:cs="Arial"/>
          <w:sz w:val="22"/>
          <w:u w:val="single"/>
        </w:rPr>
        <w:t>Waiver of Subrogation</w:t>
      </w:r>
      <w:r w:rsidR="00913446" w:rsidRPr="00B63513">
        <w:rPr>
          <w:rFonts w:ascii="Arial" w:hAnsi="Arial" w:cs="Arial"/>
          <w:sz w:val="22"/>
          <w:u w:val="single"/>
        </w:rPr>
        <w:t xml:space="preserve"> – Known as </w:t>
      </w:r>
      <w:r w:rsidR="00D85FAC" w:rsidRPr="00B63513">
        <w:rPr>
          <w:rFonts w:ascii="Arial" w:hAnsi="Arial" w:cs="Arial"/>
          <w:sz w:val="22"/>
          <w:u w:val="single"/>
        </w:rPr>
        <w:t>Waiver of Transfer of Rights of Recovery Against Others to Us</w:t>
      </w:r>
    </w:p>
    <w:p w14:paraId="26DFA6EE" w14:textId="6598D8CD" w:rsidR="00F3495A" w:rsidRPr="00B63513" w:rsidRDefault="00F3495A" w:rsidP="007E3C75">
      <w:pPr>
        <w:spacing w:after="120"/>
        <w:rPr>
          <w:rFonts w:ascii="Arial" w:hAnsi="Arial" w:cs="Arial"/>
          <w:sz w:val="22"/>
        </w:rPr>
      </w:pPr>
      <w:r w:rsidRPr="00B63513">
        <w:rPr>
          <w:rFonts w:ascii="Arial" w:hAnsi="Arial" w:cs="Arial"/>
          <w:sz w:val="22"/>
        </w:rPr>
        <w:t xml:space="preserve">Insurance companies use subrogation as a strategy to recoup the money paid for a claim by legally pursuing payment from another party affiliated with the loss. Adding a waiver of subrogation to a contract prevents a </w:t>
      </w:r>
      <w:r w:rsidR="000A21E3" w:rsidRPr="00B63513">
        <w:rPr>
          <w:rFonts w:ascii="Arial" w:hAnsi="Arial" w:cs="Arial"/>
          <w:sz w:val="22"/>
        </w:rPr>
        <w:t>contractor (vendor)</w:t>
      </w:r>
      <w:r w:rsidR="006D7E40" w:rsidRPr="00B63513">
        <w:rPr>
          <w:rFonts w:ascii="Arial" w:hAnsi="Arial" w:cs="Arial"/>
          <w:sz w:val="22"/>
        </w:rPr>
        <w:t xml:space="preserve"> </w:t>
      </w:r>
      <w:r w:rsidR="00C1515C" w:rsidRPr="00B63513">
        <w:rPr>
          <w:rFonts w:ascii="Arial" w:hAnsi="Arial" w:cs="Arial"/>
          <w:sz w:val="22"/>
        </w:rPr>
        <w:t>i</w:t>
      </w:r>
      <w:r w:rsidRPr="00B63513">
        <w:rPr>
          <w:rFonts w:ascii="Arial" w:hAnsi="Arial" w:cs="Arial"/>
          <w:sz w:val="22"/>
        </w:rPr>
        <w:t xml:space="preserve">nsurer </w:t>
      </w:r>
      <w:r w:rsidR="006D7E40" w:rsidRPr="00B63513">
        <w:rPr>
          <w:rFonts w:ascii="Arial" w:hAnsi="Arial" w:cs="Arial"/>
          <w:sz w:val="22"/>
        </w:rPr>
        <w:t xml:space="preserve">from </w:t>
      </w:r>
      <w:r w:rsidRPr="00B63513">
        <w:rPr>
          <w:rFonts w:ascii="Arial" w:hAnsi="Arial" w:cs="Arial"/>
          <w:sz w:val="22"/>
        </w:rPr>
        <w:t xml:space="preserve">seeking reimbursement on a settled claim from an entity. </w:t>
      </w:r>
      <w:r w:rsidR="00CC5B4F" w:rsidRPr="00B63513">
        <w:rPr>
          <w:rFonts w:ascii="Arial" w:hAnsi="Arial" w:cs="Arial"/>
          <w:sz w:val="22"/>
        </w:rPr>
        <w:t>If your Entity is named as an “additional insured” on the contractor (vendor) liability policy, current case law holds that it is against public policy to allow an insurer to subrogate against its own insured, even an “additional insured.”</w:t>
      </w:r>
    </w:p>
    <w:p w14:paraId="55F444A6" w14:textId="3111DF8B" w:rsidR="007E3C75" w:rsidRPr="00B63513" w:rsidRDefault="00291DCA" w:rsidP="00291DCA">
      <w:pPr>
        <w:spacing w:after="120"/>
        <w:rPr>
          <w:rFonts w:ascii="Arial" w:hAnsi="Arial" w:cs="Arial"/>
          <w:sz w:val="22"/>
          <w:u w:val="single"/>
        </w:rPr>
      </w:pPr>
      <w:r w:rsidRPr="00B63513">
        <w:rPr>
          <w:rFonts w:ascii="Arial" w:hAnsi="Arial" w:cs="Arial"/>
          <w:sz w:val="22"/>
          <w:u w:val="single"/>
        </w:rPr>
        <w:t>Tip 3 – Additional Insured Endorsement</w:t>
      </w:r>
    </w:p>
    <w:p w14:paraId="6CA22147" w14:textId="7E5C8173" w:rsidR="00291DCA" w:rsidRPr="00B63513" w:rsidRDefault="009A29E0" w:rsidP="009A29E0">
      <w:pPr>
        <w:spacing w:after="120"/>
        <w:rPr>
          <w:rFonts w:ascii="Arial" w:hAnsi="Arial" w:cs="Arial"/>
          <w:sz w:val="22"/>
        </w:rPr>
      </w:pPr>
      <w:r w:rsidRPr="00B63513">
        <w:rPr>
          <w:rFonts w:ascii="Arial" w:hAnsi="Arial" w:cs="Arial"/>
          <w:sz w:val="22"/>
        </w:rPr>
        <w:t xml:space="preserve">Additional insured endorsements </w:t>
      </w:r>
      <w:r w:rsidR="00942271" w:rsidRPr="00B63513">
        <w:rPr>
          <w:rFonts w:ascii="Arial" w:hAnsi="Arial" w:cs="Arial"/>
          <w:sz w:val="22"/>
        </w:rPr>
        <w:t>provide the agency</w:t>
      </w:r>
      <w:r w:rsidRPr="00B63513">
        <w:rPr>
          <w:rFonts w:ascii="Arial" w:hAnsi="Arial" w:cs="Arial"/>
          <w:sz w:val="22"/>
        </w:rPr>
        <w:t xml:space="preserve"> with insurance coverage </w:t>
      </w:r>
      <w:r w:rsidR="00942271" w:rsidRPr="00B63513">
        <w:rPr>
          <w:rFonts w:ascii="Arial" w:hAnsi="Arial" w:cs="Arial"/>
          <w:sz w:val="22"/>
        </w:rPr>
        <w:t>through the contractor (vendor</w:t>
      </w:r>
      <w:r w:rsidR="000B4822" w:rsidRPr="00B63513">
        <w:rPr>
          <w:rFonts w:ascii="Arial" w:hAnsi="Arial" w:cs="Arial"/>
          <w:sz w:val="22"/>
        </w:rPr>
        <w:t xml:space="preserve">) </w:t>
      </w:r>
      <w:r w:rsidRPr="00B63513">
        <w:rPr>
          <w:rFonts w:ascii="Arial" w:hAnsi="Arial" w:cs="Arial"/>
          <w:sz w:val="22"/>
        </w:rPr>
        <w:t xml:space="preserve">liability policy. This coverage amendment prevents subcontractors and other third parties from seeking financial contribution from the </w:t>
      </w:r>
      <w:r w:rsidR="00567652" w:rsidRPr="00B63513">
        <w:rPr>
          <w:rFonts w:ascii="Arial" w:hAnsi="Arial" w:cs="Arial"/>
          <w:sz w:val="22"/>
        </w:rPr>
        <w:t xml:space="preserve">agency’s </w:t>
      </w:r>
      <w:r w:rsidRPr="00B63513">
        <w:rPr>
          <w:rFonts w:ascii="Arial" w:hAnsi="Arial" w:cs="Arial"/>
          <w:sz w:val="22"/>
        </w:rPr>
        <w:t>insurance if a policyholder generates the loss in whole or in part. Additional insureds also can file claims for which they are not solely at fault under the named insured’s policy.</w:t>
      </w:r>
      <w:r w:rsidR="00407217" w:rsidRPr="00B63513">
        <w:rPr>
          <w:rFonts w:ascii="Arial" w:hAnsi="Arial" w:cs="Arial"/>
          <w:sz w:val="22"/>
        </w:rPr>
        <w:t xml:space="preserve"> This status gives the agency direct rights under the contractor (vendor) insurance and greatly increases the agency</w:t>
      </w:r>
      <w:r w:rsidR="00941130" w:rsidRPr="00B63513">
        <w:rPr>
          <w:rFonts w:ascii="Arial" w:hAnsi="Arial" w:cs="Arial"/>
          <w:sz w:val="22"/>
        </w:rPr>
        <w:t>’s</w:t>
      </w:r>
      <w:r w:rsidR="00407217" w:rsidRPr="00B63513">
        <w:rPr>
          <w:rFonts w:ascii="Arial" w:hAnsi="Arial" w:cs="Arial"/>
          <w:sz w:val="22"/>
        </w:rPr>
        <w:t xml:space="preserve"> chances of recovery, especially for </w:t>
      </w:r>
      <w:r w:rsidR="00E84D1D" w:rsidRPr="00B63513">
        <w:rPr>
          <w:rFonts w:ascii="Arial" w:hAnsi="Arial" w:cs="Arial"/>
          <w:sz w:val="22"/>
        </w:rPr>
        <w:t>the agency’s</w:t>
      </w:r>
      <w:r w:rsidR="00407217" w:rsidRPr="00B63513">
        <w:rPr>
          <w:rFonts w:ascii="Arial" w:hAnsi="Arial" w:cs="Arial"/>
          <w:sz w:val="22"/>
        </w:rPr>
        <w:t xml:space="preserve"> legal defense.</w:t>
      </w:r>
    </w:p>
    <w:p w14:paraId="61A2E76C" w14:textId="25EF7BE6" w:rsidR="00567652" w:rsidRPr="00B63513" w:rsidRDefault="00567652" w:rsidP="001D6213">
      <w:pPr>
        <w:spacing w:after="120"/>
        <w:rPr>
          <w:rFonts w:ascii="Arial" w:hAnsi="Arial" w:cs="Arial"/>
          <w:sz w:val="22"/>
          <w:u w:val="single"/>
        </w:rPr>
      </w:pPr>
      <w:r w:rsidRPr="00B63513">
        <w:rPr>
          <w:rFonts w:ascii="Arial" w:hAnsi="Arial" w:cs="Arial"/>
          <w:sz w:val="22"/>
          <w:u w:val="single"/>
        </w:rPr>
        <w:t xml:space="preserve">Tip – 4 </w:t>
      </w:r>
      <w:r w:rsidR="001D6213" w:rsidRPr="00B63513">
        <w:rPr>
          <w:rFonts w:ascii="Arial" w:hAnsi="Arial" w:cs="Arial"/>
          <w:sz w:val="22"/>
          <w:u w:val="single"/>
        </w:rPr>
        <w:t>Primary and Non-Contributory</w:t>
      </w:r>
    </w:p>
    <w:p w14:paraId="64FE2A6A" w14:textId="7B469629" w:rsidR="001D6213" w:rsidRPr="00B63513" w:rsidRDefault="00CE3B05" w:rsidP="00C53C8A">
      <w:pPr>
        <w:rPr>
          <w:rFonts w:ascii="Arial" w:hAnsi="Arial" w:cs="Arial"/>
          <w:sz w:val="22"/>
        </w:rPr>
      </w:pPr>
      <w:r w:rsidRPr="00B63513">
        <w:rPr>
          <w:rFonts w:ascii="Arial" w:hAnsi="Arial" w:cs="Arial"/>
          <w:sz w:val="22"/>
        </w:rPr>
        <w:t>One party is not always solely responsible for a claim. A primary</w:t>
      </w:r>
      <w:r w:rsidR="00026A79" w:rsidRPr="00B63513">
        <w:rPr>
          <w:rFonts w:ascii="Arial" w:hAnsi="Arial" w:cs="Arial"/>
          <w:sz w:val="22"/>
        </w:rPr>
        <w:t xml:space="preserve"> and </w:t>
      </w:r>
      <w:r w:rsidR="001D6213" w:rsidRPr="00B63513">
        <w:rPr>
          <w:rFonts w:ascii="Arial" w:hAnsi="Arial" w:cs="Arial"/>
          <w:sz w:val="22"/>
        </w:rPr>
        <w:t>non-contributory endorsement specifies usage order when multiple</w:t>
      </w:r>
      <w:r w:rsidRPr="00B63513">
        <w:rPr>
          <w:rFonts w:ascii="Arial" w:hAnsi="Arial" w:cs="Arial"/>
          <w:sz w:val="22"/>
        </w:rPr>
        <w:t xml:space="preserve"> </w:t>
      </w:r>
      <w:r w:rsidR="001D6213" w:rsidRPr="00B63513">
        <w:rPr>
          <w:rFonts w:ascii="Arial" w:hAnsi="Arial" w:cs="Arial"/>
          <w:sz w:val="22"/>
        </w:rPr>
        <w:t>policies get triggered by the same event. The clause should state</w:t>
      </w:r>
      <w:r w:rsidRPr="00B63513">
        <w:rPr>
          <w:rFonts w:ascii="Arial" w:hAnsi="Arial" w:cs="Arial"/>
          <w:sz w:val="22"/>
        </w:rPr>
        <w:t xml:space="preserve"> </w:t>
      </w:r>
      <w:r w:rsidR="001D6213" w:rsidRPr="00B63513">
        <w:rPr>
          <w:rFonts w:ascii="Arial" w:hAnsi="Arial" w:cs="Arial"/>
          <w:sz w:val="22"/>
        </w:rPr>
        <w:t xml:space="preserve">that the </w:t>
      </w:r>
      <w:r w:rsidR="00026A79" w:rsidRPr="00B63513">
        <w:rPr>
          <w:rFonts w:ascii="Arial" w:hAnsi="Arial" w:cs="Arial"/>
          <w:sz w:val="22"/>
        </w:rPr>
        <w:t xml:space="preserve">contractor (vendor) </w:t>
      </w:r>
      <w:r w:rsidR="001D6213" w:rsidRPr="00B63513">
        <w:rPr>
          <w:rFonts w:ascii="Arial" w:hAnsi="Arial" w:cs="Arial"/>
          <w:sz w:val="22"/>
        </w:rPr>
        <w:t>policy is primary to the loss without seeking</w:t>
      </w:r>
      <w:r w:rsidRPr="00B63513">
        <w:rPr>
          <w:rFonts w:ascii="Arial" w:hAnsi="Arial" w:cs="Arial"/>
          <w:sz w:val="22"/>
        </w:rPr>
        <w:t xml:space="preserve"> </w:t>
      </w:r>
      <w:r w:rsidR="001D6213" w:rsidRPr="00B63513">
        <w:rPr>
          <w:rFonts w:ascii="Arial" w:hAnsi="Arial" w:cs="Arial"/>
          <w:sz w:val="22"/>
        </w:rPr>
        <w:t>contribution from the additional insured’s policy. This ensures the</w:t>
      </w:r>
      <w:r w:rsidRPr="00B63513">
        <w:rPr>
          <w:rFonts w:ascii="Arial" w:hAnsi="Arial" w:cs="Arial"/>
          <w:sz w:val="22"/>
        </w:rPr>
        <w:t xml:space="preserve"> </w:t>
      </w:r>
      <w:r w:rsidR="00542473" w:rsidRPr="00B63513">
        <w:rPr>
          <w:rFonts w:ascii="Arial" w:hAnsi="Arial" w:cs="Arial"/>
          <w:sz w:val="22"/>
        </w:rPr>
        <w:t xml:space="preserve">contractor (vendor) </w:t>
      </w:r>
      <w:r w:rsidR="001D6213" w:rsidRPr="00B63513">
        <w:rPr>
          <w:rFonts w:ascii="Arial" w:hAnsi="Arial" w:cs="Arial"/>
          <w:sz w:val="22"/>
        </w:rPr>
        <w:t>policy applies in full before pursuing any financial</w:t>
      </w:r>
      <w:r w:rsidRPr="00B63513">
        <w:rPr>
          <w:rFonts w:ascii="Arial" w:hAnsi="Arial" w:cs="Arial"/>
          <w:sz w:val="22"/>
        </w:rPr>
        <w:t xml:space="preserve"> </w:t>
      </w:r>
      <w:r w:rsidR="001D6213" w:rsidRPr="00B63513">
        <w:rPr>
          <w:rFonts w:ascii="Arial" w:hAnsi="Arial" w:cs="Arial"/>
          <w:sz w:val="22"/>
        </w:rPr>
        <w:t xml:space="preserve">contribution </w:t>
      </w:r>
      <w:r w:rsidR="00542473" w:rsidRPr="00B63513">
        <w:rPr>
          <w:rFonts w:ascii="Arial" w:hAnsi="Arial" w:cs="Arial"/>
          <w:sz w:val="22"/>
        </w:rPr>
        <w:t>fr</w:t>
      </w:r>
      <w:r w:rsidR="00C53C8A">
        <w:rPr>
          <w:rFonts w:ascii="Arial" w:hAnsi="Arial" w:cs="Arial"/>
          <w:sz w:val="22"/>
        </w:rPr>
        <w:t>om</w:t>
      </w:r>
      <w:r w:rsidR="00F630BE" w:rsidRPr="00B63513">
        <w:rPr>
          <w:rFonts w:ascii="Arial" w:hAnsi="Arial" w:cs="Arial"/>
          <w:sz w:val="22"/>
        </w:rPr>
        <w:t xml:space="preserve"> </w:t>
      </w:r>
      <w:r w:rsidR="00C53C8A">
        <w:rPr>
          <w:rFonts w:ascii="Arial" w:hAnsi="Arial" w:cs="Arial"/>
          <w:sz w:val="22"/>
        </w:rPr>
        <w:t>your</w:t>
      </w:r>
      <w:r w:rsidR="00F630BE" w:rsidRPr="00B63513">
        <w:rPr>
          <w:rFonts w:ascii="Arial" w:hAnsi="Arial" w:cs="Arial"/>
          <w:sz w:val="22"/>
        </w:rPr>
        <w:t xml:space="preserve"> agency</w:t>
      </w:r>
      <w:r w:rsidR="001D6213" w:rsidRPr="00B63513">
        <w:rPr>
          <w:rFonts w:ascii="Arial" w:hAnsi="Arial" w:cs="Arial"/>
          <w:sz w:val="22"/>
        </w:rPr>
        <w:t>.</w:t>
      </w:r>
    </w:p>
    <w:p w14:paraId="0DA4FA76" w14:textId="5DF430FD" w:rsidR="00B63513" w:rsidRPr="00B63513" w:rsidRDefault="00B63513">
      <w:pPr>
        <w:rPr>
          <w:rFonts w:ascii="Arial" w:hAnsi="Arial" w:cs="Arial"/>
          <w:sz w:val="22"/>
          <w:u w:val="single"/>
        </w:rPr>
      </w:pPr>
    </w:p>
    <w:p w14:paraId="02747F55" w14:textId="0C074313" w:rsidR="0081210E" w:rsidRPr="00B63513" w:rsidRDefault="0081210E" w:rsidP="001D6213">
      <w:pPr>
        <w:spacing w:after="120"/>
        <w:rPr>
          <w:rFonts w:ascii="Arial" w:hAnsi="Arial" w:cs="Arial"/>
          <w:sz w:val="22"/>
          <w:u w:val="single"/>
        </w:rPr>
      </w:pPr>
      <w:r w:rsidRPr="00B63513">
        <w:rPr>
          <w:rFonts w:ascii="Arial" w:hAnsi="Arial" w:cs="Arial"/>
          <w:sz w:val="22"/>
          <w:u w:val="single"/>
        </w:rPr>
        <w:t>Tip – 5 Completed Operations</w:t>
      </w:r>
    </w:p>
    <w:p w14:paraId="62FDCFAD" w14:textId="2709AA2A" w:rsidR="00B63513" w:rsidRDefault="00890A82" w:rsidP="007760FD">
      <w:pPr>
        <w:spacing w:after="120"/>
        <w:rPr>
          <w:rFonts w:ascii="Arial" w:hAnsi="Arial" w:cs="Arial"/>
          <w:sz w:val="22"/>
          <w:u w:val="single"/>
        </w:rPr>
      </w:pPr>
      <w:r w:rsidRPr="00B63513">
        <w:rPr>
          <w:rFonts w:ascii="Arial" w:hAnsi="Arial" w:cs="Arial"/>
          <w:sz w:val="22"/>
        </w:rPr>
        <w:t xml:space="preserve">Specify the duration of the coverage when requiring an additional insured endorsement. Without a specific requirement, insurers may limit coverage to “ongoing” operations, which only includes the named insured’s active work on a project. </w:t>
      </w:r>
      <w:r w:rsidR="00F7776D" w:rsidRPr="00B63513">
        <w:rPr>
          <w:rFonts w:ascii="Arial" w:hAnsi="Arial" w:cs="Arial"/>
          <w:sz w:val="22"/>
        </w:rPr>
        <w:t>Extend</w:t>
      </w:r>
      <w:r w:rsidRPr="00B63513">
        <w:rPr>
          <w:rFonts w:ascii="Arial" w:hAnsi="Arial" w:cs="Arial"/>
          <w:sz w:val="22"/>
        </w:rPr>
        <w:t xml:space="preserve"> coverage to finished work by requiring the endorsement include “completed” operations. This is an important distinction because negligence or faulty work often is not discovered for months, or even years, after a </w:t>
      </w:r>
      <w:r w:rsidR="006D7A83" w:rsidRPr="00B63513">
        <w:rPr>
          <w:rFonts w:ascii="Arial" w:hAnsi="Arial" w:cs="Arial"/>
          <w:sz w:val="22"/>
        </w:rPr>
        <w:t>contractor (vendor)</w:t>
      </w:r>
      <w:r w:rsidRPr="00B63513">
        <w:rPr>
          <w:rFonts w:ascii="Arial" w:hAnsi="Arial" w:cs="Arial"/>
          <w:sz w:val="22"/>
        </w:rPr>
        <w:t xml:space="preserve"> job ends. The </w:t>
      </w:r>
      <w:r w:rsidR="00FD35D6" w:rsidRPr="00B63513">
        <w:rPr>
          <w:rFonts w:ascii="Arial" w:hAnsi="Arial" w:cs="Arial"/>
          <w:sz w:val="22"/>
        </w:rPr>
        <w:t xml:space="preserve">agency </w:t>
      </w:r>
      <w:r w:rsidR="000D1240" w:rsidRPr="00B63513">
        <w:rPr>
          <w:rFonts w:ascii="Arial" w:hAnsi="Arial" w:cs="Arial"/>
          <w:sz w:val="22"/>
        </w:rPr>
        <w:t xml:space="preserve">may be </w:t>
      </w:r>
      <w:r w:rsidR="00B026D9" w:rsidRPr="00B63513">
        <w:rPr>
          <w:rFonts w:ascii="Arial" w:hAnsi="Arial" w:cs="Arial"/>
          <w:sz w:val="22"/>
        </w:rPr>
        <w:t>responsible for</w:t>
      </w:r>
      <w:r w:rsidRPr="00B63513">
        <w:rPr>
          <w:rFonts w:ascii="Arial" w:hAnsi="Arial" w:cs="Arial"/>
          <w:sz w:val="22"/>
        </w:rPr>
        <w:t xml:space="preserve"> </w:t>
      </w:r>
      <w:r w:rsidR="00C53C8A">
        <w:rPr>
          <w:rFonts w:ascii="Arial" w:hAnsi="Arial" w:cs="Arial"/>
          <w:sz w:val="22"/>
        </w:rPr>
        <w:t>a</w:t>
      </w:r>
      <w:r w:rsidRPr="00B63513">
        <w:rPr>
          <w:rFonts w:ascii="Arial" w:hAnsi="Arial" w:cs="Arial"/>
          <w:sz w:val="22"/>
        </w:rPr>
        <w:t xml:space="preserve"> </w:t>
      </w:r>
      <w:r w:rsidR="00C53C8A">
        <w:rPr>
          <w:rFonts w:ascii="Arial" w:hAnsi="Arial" w:cs="Arial"/>
          <w:sz w:val="22"/>
        </w:rPr>
        <w:t xml:space="preserve">loss related to a </w:t>
      </w:r>
      <w:r w:rsidR="00FD35D6" w:rsidRPr="00B63513">
        <w:rPr>
          <w:rFonts w:ascii="Arial" w:hAnsi="Arial" w:cs="Arial"/>
          <w:sz w:val="22"/>
        </w:rPr>
        <w:t>contractor</w:t>
      </w:r>
      <w:r w:rsidR="00C53C8A">
        <w:rPr>
          <w:rFonts w:ascii="Arial" w:hAnsi="Arial" w:cs="Arial"/>
          <w:sz w:val="22"/>
        </w:rPr>
        <w:t>’s</w:t>
      </w:r>
      <w:r w:rsidR="00FD35D6" w:rsidRPr="00B63513">
        <w:rPr>
          <w:rFonts w:ascii="Arial" w:hAnsi="Arial" w:cs="Arial"/>
          <w:sz w:val="22"/>
        </w:rPr>
        <w:t xml:space="preserve"> (vendor)</w:t>
      </w:r>
      <w:r w:rsidRPr="00B63513">
        <w:rPr>
          <w:rFonts w:ascii="Arial" w:hAnsi="Arial" w:cs="Arial"/>
          <w:sz w:val="22"/>
        </w:rPr>
        <w:t xml:space="preserve"> poor performance if the additional insured endorsement does not cover completed work.</w:t>
      </w:r>
      <w:r w:rsidR="00B63513">
        <w:rPr>
          <w:rFonts w:ascii="Arial" w:hAnsi="Arial" w:cs="Arial"/>
          <w:sz w:val="22"/>
          <w:u w:val="single"/>
        </w:rPr>
        <w:br w:type="page"/>
      </w:r>
    </w:p>
    <w:p w14:paraId="6036B485" w14:textId="77777777" w:rsidR="007760FD" w:rsidRDefault="007760FD" w:rsidP="00713F74">
      <w:pPr>
        <w:spacing w:after="120"/>
        <w:rPr>
          <w:rFonts w:ascii="Arial" w:hAnsi="Arial" w:cs="Arial"/>
          <w:sz w:val="22"/>
          <w:u w:val="single"/>
        </w:rPr>
      </w:pPr>
    </w:p>
    <w:p w14:paraId="408F5101" w14:textId="13D4A7D1" w:rsidR="00F7776D" w:rsidRPr="00B63513" w:rsidRDefault="00F7776D" w:rsidP="00713F74">
      <w:pPr>
        <w:spacing w:after="120"/>
        <w:rPr>
          <w:rFonts w:ascii="Arial" w:hAnsi="Arial" w:cs="Arial"/>
          <w:sz w:val="22"/>
          <w:u w:val="single"/>
        </w:rPr>
      </w:pPr>
      <w:r w:rsidRPr="00B63513">
        <w:rPr>
          <w:rFonts w:ascii="Arial" w:hAnsi="Arial" w:cs="Arial"/>
          <w:sz w:val="22"/>
          <w:u w:val="single"/>
        </w:rPr>
        <w:t xml:space="preserve">Tip – 6 </w:t>
      </w:r>
      <w:r w:rsidR="00713F74" w:rsidRPr="00B63513">
        <w:rPr>
          <w:rFonts w:ascii="Arial" w:hAnsi="Arial" w:cs="Arial"/>
          <w:sz w:val="22"/>
          <w:u w:val="single"/>
        </w:rPr>
        <w:t>Blanket Endorsement Language</w:t>
      </w:r>
    </w:p>
    <w:p w14:paraId="64ADE08D" w14:textId="2C471E5B" w:rsidR="00713F74" w:rsidRPr="00B63513" w:rsidRDefault="00A85606" w:rsidP="00A85606">
      <w:pPr>
        <w:spacing w:after="120"/>
        <w:rPr>
          <w:rFonts w:ascii="Arial" w:hAnsi="Arial" w:cs="Arial"/>
          <w:sz w:val="22"/>
        </w:rPr>
      </w:pPr>
      <w:r w:rsidRPr="00B63513">
        <w:rPr>
          <w:rFonts w:ascii="Arial" w:hAnsi="Arial" w:cs="Arial"/>
          <w:sz w:val="22"/>
        </w:rPr>
        <w:t xml:space="preserve">Blanket endorsements provide coverage under a contractor </w:t>
      </w:r>
      <w:r w:rsidR="00FA46EE" w:rsidRPr="00B63513">
        <w:rPr>
          <w:rFonts w:ascii="Arial" w:hAnsi="Arial" w:cs="Arial"/>
          <w:sz w:val="22"/>
        </w:rPr>
        <w:t xml:space="preserve">(vendor) </w:t>
      </w:r>
      <w:r w:rsidRPr="00B63513">
        <w:rPr>
          <w:rFonts w:ascii="Arial" w:hAnsi="Arial" w:cs="Arial"/>
          <w:sz w:val="22"/>
        </w:rPr>
        <w:t xml:space="preserve">or other third party’s insurance policy to any contractually required entity without being specifically named. For a </w:t>
      </w:r>
      <w:r w:rsidR="00920B16" w:rsidRPr="00B63513">
        <w:rPr>
          <w:rFonts w:ascii="Arial" w:hAnsi="Arial" w:cs="Arial"/>
          <w:sz w:val="22"/>
        </w:rPr>
        <w:t>contractor (vendor)</w:t>
      </w:r>
      <w:r w:rsidRPr="00B63513">
        <w:rPr>
          <w:rFonts w:ascii="Arial" w:hAnsi="Arial" w:cs="Arial"/>
          <w:sz w:val="22"/>
        </w:rPr>
        <w:t xml:space="preserve"> associated with hundreds of projects a year, a blanket endorsement offers an expedient way for adding additional insureds. One of two conditions must exist for blanket endorsement coverage: 1) a direct </w:t>
      </w:r>
      <w:r w:rsidR="00A01120">
        <w:rPr>
          <w:rFonts w:ascii="Arial" w:hAnsi="Arial" w:cs="Arial"/>
          <w:sz w:val="22"/>
        </w:rPr>
        <w:t xml:space="preserve">(executed) </w:t>
      </w:r>
      <w:r w:rsidRPr="00B63513">
        <w:rPr>
          <w:rFonts w:ascii="Arial" w:hAnsi="Arial" w:cs="Arial"/>
          <w:sz w:val="22"/>
        </w:rPr>
        <w:t>contract between the named insured and the additional insured, or 2) the contract specifies all parties required as additional insureds. For example, a general contractor’s agreement with a subcontractor must state that the property owner be added as an additional insured on the subcontractor’s policy since a direct contract does not exist between the property owner and subcontractor.</w:t>
      </w:r>
    </w:p>
    <w:p w14:paraId="1EFC0C20" w14:textId="6B61D1CB" w:rsidR="00544840" w:rsidRPr="00B63513" w:rsidRDefault="00544840" w:rsidP="00A85606">
      <w:pPr>
        <w:spacing w:after="120"/>
        <w:rPr>
          <w:rFonts w:ascii="Arial" w:hAnsi="Arial" w:cs="Arial"/>
          <w:sz w:val="22"/>
          <w:u w:val="single"/>
        </w:rPr>
      </w:pPr>
      <w:r w:rsidRPr="00B63513">
        <w:rPr>
          <w:rFonts w:ascii="Arial" w:hAnsi="Arial" w:cs="Arial"/>
          <w:sz w:val="22"/>
          <w:u w:val="single"/>
        </w:rPr>
        <w:t xml:space="preserve">Tip – 7 </w:t>
      </w:r>
      <w:r w:rsidR="00515BE9" w:rsidRPr="00B63513">
        <w:rPr>
          <w:rFonts w:ascii="Arial" w:hAnsi="Arial" w:cs="Arial"/>
          <w:sz w:val="22"/>
          <w:u w:val="single"/>
        </w:rPr>
        <w:t>Types of Coverage</w:t>
      </w:r>
    </w:p>
    <w:p w14:paraId="5EE836FF" w14:textId="62D4764F" w:rsidR="00515BE9" w:rsidRPr="00B63513" w:rsidRDefault="00515BE9" w:rsidP="00515BE9">
      <w:pPr>
        <w:spacing w:after="120"/>
        <w:rPr>
          <w:rFonts w:ascii="Arial" w:hAnsi="Arial" w:cs="Arial"/>
          <w:sz w:val="22"/>
        </w:rPr>
      </w:pPr>
      <w:r w:rsidRPr="00B63513">
        <w:rPr>
          <w:rFonts w:ascii="Arial" w:hAnsi="Arial" w:cs="Arial"/>
          <w:sz w:val="22"/>
        </w:rPr>
        <w:t xml:space="preserve">Specify the types of insurance coverages required in the contract. Depending on the project and scope of work, this may include Commercial General Liability, Professional Liability, Auto Liability, Workers’ Compensation, </w:t>
      </w:r>
      <w:r w:rsidR="00A01120">
        <w:rPr>
          <w:rFonts w:ascii="Arial" w:hAnsi="Arial" w:cs="Arial"/>
          <w:sz w:val="22"/>
        </w:rPr>
        <w:t xml:space="preserve">Cyber, </w:t>
      </w:r>
      <w:r w:rsidRPr="00B63513">
        <w:rPr>
          <w:rFonts w:ascii="Arial" w:hAnsi="Arial" w:cs="Arial"/>
          <w:sz w:val="22"/>
        </w:rPr>
        <w:t xml:space="preserve">Property, </w:t>
      </w:r>
      <w:r w:rsidR="00A01120">
        <w:rPr>
          <w:rFonts w:ascii="Arial" w:hAnsi="Arial" w:cs="Arial"/>
          <w:sz w:val="22"/>
        </w:rPr>
        <w:t xml:space="preserve">or </w:t>
      </w:r>
      <w:r w:rsidR="006637FF" w:rsidRPr="00B63513">
        <w:rPr>
          <w:rFonts w:ascii="Arial" w:hAnsi="Arial" w:cs="Arial"/>
          <w:sz w:val="22"/>
        </w:rPr>
        <w:t>Pollution</w:t>
      </w:r>
      <w:r w:rsidR="00A01120">
        <w:rPr>
          <w:rFonts w:ascii="Arial" w:hAnsi="Arial" w:cs="Arial"/>
          <w:sz w:val="22"/>
        </w:rPr>
        <w:t xml:space="preserve"> coverage</w:t>
      </w:r>
      <w:r w:rsidR="006637FF" w:rsidRPr="00B63513">
        <w:rPr>
          <w:rFonts w:ascii="Arial" w:hAnsi="Arial" w:cs="Arial"/>
          <w:sz w:val="22"/>
        </w:rPr>
        <w:t xml:space="preserve">, </w:t>
      </w:r>
      <w:r w:rsidRPr="00B63513">
        <w:rPr>
          <w:rFonts w:ascii="Arial" w:hAnsi="Arial" w:cs="Arial"/>
          <w:sz w:val="22"/>
        </w:rPr>
        <w:t>among others. Insurance policies are not one size- fits-all, so fully covering a project or property likely requires multiple policies. A major paint spill covered under a Contractor’s Pollution Liability policy may not receive coverage under Commercial General Liability, which could leave the upper tier entity responsible for the clean-up costs rather than the subcontractor.</w:t>
      </w:r>
    </w:p>
    <w:p w14:paraId="2A017102" w14:textId="55AE677B" w:rsidR="00730F4F" w:rsidRPr="00B63513" w:rsidRDefault="00730F4F" w:rsidP="00515BE9">
      <w:pPr>
        <w:spacing w:after="120"/>
        <w:rPr>
          <w:rFonts w:ascii="Arial" w:hAnsi="Arial" w:cs="Arial"/>
          <w:sz w:val="22"/>
          <w:u w:val="single"/>
        </w:rPr>
      </w:pPr>
      <w:r w:rsidRPr="00B63513">
        <w:rPr>
          <w:rFonts w:ascii="Arial" w:hAnsi="Arial" w:cs="Arial"/>
          <w:sz w:val="22"/>
          <w:u w:val="single"/>
        </w:rPr>
        <w:t>Tip – 8 Set Coverage Limits</w:t>
      </w:r>
    </w:p>
    <w:p w14:paraId="7C641F1F" w14:textId="68657298" w:rsidR="00730F4F" w:rsidRPr="00B63513" w:rsidRDefault="005666B7" w:rsidP="005666B7">
      <w:pPr>
        <w:spacing w:after="120"/>
        <w:rPr>
          <w:rFonts w:ascii="Arial" w:hAnsi="Arial" w:cs="Arial"/>
          <w:sz w:val="22"/>
        </w:rPr>
      </w:pPr>
      <w:r w:rsidRPr="00B63513">
        <w:rPr>
          <w:rFonts w:ascii="Arial" w:hAnsi="Arial" w:cs="Arial"/>
          <w:sz w:val="22"/>
        </w:rPr>
        <w:t xml:space="preserve">Designate required coverage thresholds for each policy. The coverage amount required by the contract should equal or exceed the </w:t>
      </w:r>
      <w:r w:rsidR="008D738A" w:rsidRPr="00B63513">
        <w:rPr>
          <w:rFonts w:ascii="Arial" w:hAnsi="Arial" w:cs="Arial"/>
          <w:sz w:val="22"/>
        </w:rPr>
        <w:t xml:space="preserve">contractor (vendor) </w:t>
      </w:r>
      <w:r w:rsidRPr="00B63513">
        <w:rPr>
          <w:rFonts w:ascii="Arial" w:hAnsi="Arial" w:cs="Arial"/>
          <w:sz w:val="22"/>
        </w:rPr>
        <w:t xml:space="preserve">insurance limits. This may require that the </w:t>
      </w:r>
      <w:r w:rsidR="004B4C41" w:rsidRPr="00B63513">
        <w:rPr>
          <w:rFonts w:ascii="Arial" w:hAnsi="Arial" w:cs="Arial"/>
          <w:sz w:val="22"/>
        </w:rPr>
        <w:t xml:space="preserve">contractor (vendor) </w:t>
      </w:r>
      <w:r w:rsidRPr="00B63513">
        <w:rPr>
          <w:rFonts w:ascii="Arial" w:hAnsi="Arial" w:cs="Arial"/>
          <w:sz w:val="22"/>
        </w:rPr>
        <w:t xml:space="preserve">purchase an umbrella policy to bridge any financial gaps. When a contractor </w:t>
      </w:r>
      <w:r w:rsidR="004B4C41" w:rsidRPr="00B63513">
        <w:rPr>
          <w:rFonts w:ascii="Arial" w:hAnsi="Arial" w:cs="Arial"/>
          <w:sz w:val="22"/>
        </w:rPr>
        <w:t xml:space="preserve">(vendor) </w:t>
      </w:r>
      <w:r w:rsidRPr="00B63513">
        <w:rPr>
          <w:rFonts w:ascii="Arial" w:hAnsi="Arial" w:cs="Arial"/>
          <w:sz w:val="22"/>
        </w:rPr>
        <w:t xml:space="preserve">or other third party fails to have an ample coverage amount, the </w:t>
      </w:r>
      <w:r w:rsidR="000D24CD" w:rsidRPr="00B63513">
        <w:rPr>
          <w:rFonts w:ascii="Arial" w:hAnsi="Arial" w:cs="Arial"/>
          <w:sz w:val="22"/>
        </w:rPr>
        <w:t xml:space="preserve">agency </w:t>
      </w:r>
      <w:r w:rsidRPr="00B63513">
        <w:rPr>
          <w:rFonts w:ascii="Arial" w:hAnsi="Arial" w:cs="Arial"/>
          <w:sz w:val="22"/>
        </w:rPr>
        <w:t>is forced to pay out-of-pocket costs or use its own insurance policy for the financial overage in the event of a loss</w:t>
      </w:r>
      <w:r w:rsidR="000D24CD" w:rsidRPr="00B63513">
        <w:rPr>
          <w:rFonts w:ascii="Arial" w:hAnsi="Arial" w:cs="Arial"/>
          <w:sz w:val="22"/>
        </w:rPr>
        <w:t xml:space="preserve"> and </w:t>
      </w:r>
      <w:r w:rsidR="00A01120">
        <w:rPr>
          <w:rFonts w:ascii="Arial" w:hAnsi="Arial" w:cs="Arial"/>
          <w:sz w:val="22"/>
        </w:rPr>
        <w:t xml:space="preserve">then attempt to </w:t>
      </w:r>
      <w:r w:rsidR="000D24CD" w:rsidRPr="00B63513">
        <w:rPr>
          <w:rFonts w:ascii="Arial" w:hAnsi="Arial" w:cs="Arial"/>
          <w:sz w:val="22"/>
        </w:rPr>
        <w:t>recover against the cont</w:t>
      </w:r>
      <w:r w:rsidR="006D2854" w:rsidRPr="00B63513">
        <w:rPr>
          <w:rFonts w:ascii="Arial" w:hAnsi="Arial" w:cs="Arial"/>
          <w:sz w:val="22"/>
        </w:rPr>
        <w:t>ractor (vendor).</w:t>
      </w:r>
    </w:p>
    <w:p w14:paraId="3D7577A0" w14:textId="3F3FA696" w:rsidR="006D2854" w:rsidRPr="00B63513" w:rsidRDefault="006D2854" w:rsidP="005666B7">
      <w:pPr>
        <w:spacing w:after="120"/>
        <w:rPr>
          <w:rFonts w:ascii="Arial" w:hAnsi="Arial" w:cs="Arial"/>
          <w:sz w:val="22"/>
          <w:u w:val="single"/>
        </w:rPr>
      </w:pPr>
      <w:r w:rsidRPr="00B63513">
        <w:rPr>
          <w:rFonts w:ascii="Arial" w:hAnsi="Arial" w:cs="Arial"/>
          <w:sz w:val="22"/>
          <w:u w:val="single"/>
        </w:rPr>
        <w:t xml:space="preserve">Tip </w:t>
      </w:r>
      <w:r w:rsidR="00B00F31" w:rsidRPr="00B63513">
        <w:rPr>
          <w:rFonts w:ascii="Arial" w:hAnsi="Arial" w:cs="Arial"/>
          <w:sz w:val="22"/>
          <w:u w:val="single"/>
        </w:rPr>
        <w:t>– 9 Grades Matter</w:t>
      </w:r>
    </w:p>
    <w:p w14:paraId="32B84D8A" w14:textId="1FC8E284" w:rsidR="00B00F31" w:rsidRPr="00B63513" w:rsidRDefault="003A086E" w:rsidP="003A086E">
      <w:pPr>
        <w:spacing w:after="120"/>
        <w:rPr>
          <w:rFonts w:ascii="Arial" w:hAnsi="Arial" w:cs="Arial"/>
          <w:sz w:val="22"/>
        </w:rPr>
      </w:pPr>
      <w:r w:rsidRPr="00B63513">
        <w:rPr>
          <w:rFonts w:ascii="Arial" w:hAnsi="Arial" w:cs="Arial"/>
          <w:sz w:val="22"/>
        </w:rPr>
        <w:t>Insurance in name only is no good. Far too many insurance companies lack the financial</w:t>
      </w:r>
      <w:r w:rsidR="003066EC" w:rsidRPr="00B63513">
        <w:rPr>
          <w:rFonts w:ascii="Arial" w:hAnsi="Arial" w:cs="Arial"/>
          <w:sz w:val="22"/>
        </w:rPr>
        <w:t xml:space="preserve"> </w:t>
      </w:r>
      <w:r w:rsidRPr="00B63513">
        <w:rPr>
          <w:rFonts w:ascii="Arial" w:hAnsi="Arial" w:cs="Arial"/>
          <w:sz w:val="22"/>
        </w:rPr>
        <w:t xml:space="preserve">solvency for covering major claims and losses. When that happens, the </w:t>
      </w:r>
      <w:r w:rsidR="003066EC" w:rsidRPr="00B63513">
        <w:rPr>
          <w:rFonts w:ascii="Arial" w:hAnsi="Arial" w:cs="Arial"/>
          <w:sz w:val="22"/>
        </w:rPr>
        <w:t>agency</w:t>
      </w:r>
      <w:r w:rsidRPr="00B63513">
        <w:rPr>
          <w:rFonts w:ascii="Arial" w:hAnsi="Arial" w:cs="Arial"/>
          <w:sz w:val="22"/>
        </w:rPr>
        <w:t xml:space="preserve"> pays the price even when they bear no fault for the incident. Who a </w:t>
      </w:r>
      <w:r w:rsidR="00CC7E48" w:rsidRPr="00B63513">
        <w:rPr>
          <w:rFonts w:ascii="Arial" w:hAnsi="Arial" w:cs="Arial"/>
          <w:sz w:val="22"/>
        </w:rPr>
        <w:t>contractor (vendor)</w:t>
      </w:r>
      <w:r w:rsidRPr="00B63513">
        <w:rPr>
          <w:rFonts w:ascii="Arial" w:hAnsi="Arial" w:cs="Arial"/>
          <w:sz w:val="22"/>
        </w:rPr>
        <w:t xml:space="preserve"> insurance provider is matters. Contractually require that contractor</w:t>
      </w:r>
      <w:r w:rsidR="00CC7E48" w:rsidRPr="00B63513">
        <w:rPr>
          <w:rFonts w:ascii="Arial" w:hAnsi="Arial" w:cs="Arial"/>
          <w:sz w:val="22"/>
        </w:rPr>
        <w:t xml:space="preserve"> (vendor)</w:t>
      </w:r>
      <w:r w:rsidRPr="00B63513">
        <w:rPr>
          <w:rFonts w:ascii="Arial" w:hAnsi="Arial" w:cs="Arial"/>
          <w:sz w:val="22"/>
        </w:rPr>
        <w:t xml:space="preserve"> insurers hold an A- or better rating by AM Best, a top tier credit rating agency for the insurance industry.</w:t>
      </w:r>
    </w:p>
    <w:p w14:paraId="0F1F8F40" w14:textId="77777777" w:rsidR="00E25997" w:rsidRPr="00B63513" w:rsidRDefault="00CC7E48" w:rsidP="00E25997">
      <w:pPr>
        <w:spacing w:after="120"/>
        <w:rPr>
          <w:rFonts w:ascii="Arial" w:hAnsi="Arial" w:cs="Arial"/>
          <w:sz w:val="22"/>
          <w:u w:val="single"/>
        </w:rPr>
      </w:pPr>
      <w:r w:rsidRPr="00B63513">
        <w:rPr>
          <w:rFonts w:ascii="Arial" w:hAnsi="Arial" w:cs="Arial"/>
          <w:sz w:val="22"/>
          <w:u w:val="single"/>
        </w:rPr>
        <w:t xml:space="preserve">Tip </w:t>
      </w:r>
      <w:r w:rsidR="00587791" w:rsidRPr="00B63513">
        <w:rPr>
          <w:rFonts w:ascii="Arial" w:hAnsi="Arial" w:cs="Arial"/>
          <w:sz w:val="22"/>
          <w:u w:val="single"/>
        </w:rPr>
        <w:t>–</w:t>
      </w:r>
      <w:r w:rsidRPr="00B63513">
        <w:rPr>
          <w:rFonts w:ascii="Arial" w:hAnsi="Arial" w:cs="Arial"/>
          <w:sz w:val="22"/>
          <w:u w:val="single"/>
        </w:rPr>
        <w:t xml:space="preserve"> 1</w:t>
      </w:r>
      <w:r w:rsidR="00587791" w:rsidRPr="00B63513">
        <w:rPr>
          <w:rFonts w:ascii="Arial" w:hAnsi="Arial" w:cs="Arial"/>
          <w:sz w:val="22"/>
          <w:u w:val="single"/>
        </w:rPr>
        <w:t>0 Review and Retain Insurance Documents</w:t>
      </w:r>
    </w:p>
    <w:p w14:paraId="1740DA35" w14:textId="5152ABCC" w:rsidR="00587791" w:rsidRPr="00B63513" w:rsidRDefault="00E25997" w:rsidP="00E25997">
      <w:pPr>
        <w:spacing w:after="120"/>
        <w:rPr>
          <w:rFonts w:ascii="Arial" w:hAnsi="Arial" w:cs="Arial"/>
          <w:sz w:val="22"/>
        </w:rPr>
      </w:pPr>
      <w:r w:rsidRPr="00B63513">
        <w:rPr>
          <w:rFonts w:ascii="Arial" w:hAnsi="Arial" w:cs="Arial"/>
          <w:sz w:val="22"/>
        </w:rPr>
        <w:t>Certificates of Insurance (COIs) confirm that contractors, vendors</w:t>
      </w:r>
      <w:r w:rsidR="00A20DDC" w:rsidRPr="00B63513">
        <w:rPr>
          <w:rFonts w:ascii="Arial" w:hAnsi="Arial" w:cs="Arial"/>
          <w:sz w:val="22"/>
        </w:rPr>
        <w:t>,</w:t>
      </w:r>
      <w:r w:rsidRPr="00B63513">
        <w:rPr>
          <w:rFonts w:ascii="Arial" w:hAnsi="Arial" w:cs="Arial"/>
          <w:sz w:val="22"/>
        </w:rPr>
        <w:t xml:space="preserve"> and other service providers carry the insurance required for working on a project. Request and review a COI from every third party before work begins. Verify coverages, limits, and other insurance specifications required by the contract. As a best practice, review COIs monthly for active coverage. Maintain copies of COIs and signed contracts. In the event of a claim, insurers will verify contractual obligations when assessing their responsibility for addressing a loss.</w:t>
      </w:r>
    </w:p>
    <w:sectPr w:rsidR="00587791" w:rsidRPr="00B63513" w:rsidSect="00670156">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210B" w14:textId="77777777" w:rsidR="00670156" w:rsidRDefault="00670156" w:rsidP="00B36763">
      <w:r>
        <w:separator/>
      </w:r>
    </w:p>
  </w:endnote>
  <w:endnote w:type="continuationSeparator" w:id="0">
    <w:p w14:paraId="3A3C4AA1" w14:textId="77777777" w:rsidR="00670156" w:rsidRDefault="00670156" w:rsidP="00B3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800306"/>
      <w:docPartObj>
        <w:docPartGallery w:val="Page Numbers (Bottom of Page)"/>
        <w:docPartUnique/>
      </w:docPartObj>
    </w:sdtPr>
    <w:sdtEndPr>
      <w:rPr>
        <w:noProof/>
      </w:rPr>
    </w:sdtEndPr>
    <w:sdtContent>
      <w:p w14:paraId="609AF1D0" w14:textId="10F33981" w:rsidR="00B36763" w:rsidRDefault="00B367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BE1E3E" w14:textId="77777777" w:rsidR="00B36763" w:rsidRDefault="00B36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9B49" w14:textId="77777777" w:rsidR="00670156" w:rsidRDefault="00670156" w:rsidP="00B36763">
      <w:r>
        <w:separator/>
      </w:r>
    </w:p>
  </w:footnote>
  <w:footnote w:type="continuationSeparator" w:id="0">
    <w:p w14:paraId="1E48C501" w14:textId="77777777" w:rsidR="00670156" w:rsidRDefault="00670156" w:rsidP="00B3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A79F" w14:textId="12758EB1" w:rsidR="007760FD" w:rsidRDefault="007760FD" w:rsidP="007760FD">
    <w:pPr>
      <w:pStyle w:val="Header"/>
      <w:jc w:val="center"/>
    </w:pPr>
    <w:r>
      <w:rPr>
        <w:noProof/>
      </w:rPr>
      <w:drawing>
        <wp:inline distT="0" distB="0" distL="0" distR="0" wp14:anchorId="42EFC8CF" wp14:editId="798D96E7">
          <wp:extent cx="2324100" cy="343897"/>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3596" cy="3497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12"/>
    <w:rsid w:val="00026A79"/>
    <w:rsid w:val="000354B1"/>
    <w:rsid w:val="000A21E3"/>
    <w:rsid w:val="000B4822"/>
    <w:rsid w:val="000D1240"/>
    <w:rsid w:val="000D24CD"/>
    <w:rsid w:val="00145B5F"/>
    <w:rsid w:val="00172FF7"/>
    <w:rsid w:val="001A2C4A"/>
    <w:rsid w:val="001D3FFF"/>
    <w:rsid w:val="001D6213"/>
    <w:rsid w:val="00261F69"/>
    <w:rsid w:val="00291DCA"/>
    <w:rsid w:val="003066EC"/>
    <w:rsid w:val="003A086E"/>
    <w:rsid w:val="003D6490"/>
    <w:rsid w:val="00407217"/>
    <w:rsid w:val="004B4C41"/>
    <w:rsid w:val="00515BE9"/>
    <w:rsid w:val="00542473"/>
    <w:rsid w:val="00544840"/>
    <w:rsid w:val="005666B7"/>
    <w:rsid w:val="00567652"/>
    <w:rsid w:val="005802E2"/>
    <w:rsid w:val="00587791"/>
    <w:rsid w:val="005D01C5"/>
    <w:rsid w:val="005F5211"/>
    <w:rsid w:val="00601E58"/>
    <w:rsid w:val="00630A76"/>
    <w:rsid w:val="006637FF"/>
    <w:rsid w:val="00670156"/>
    <w:rsid w:val="006B4386"/>
    <w:rsid w:val="006D2854"/>
    <w:rsid w:val="006D7A83"/>
    <w:rsid w:val="006D7E40"/>
    <w:rsid w:val="00713F74"/>
    <w:rsid w:val="00730F4F"/>
    <w:rsid w:val="007760FD"/>
    <w:rsid w:val="007E3C75"/>
    <w:rsid w:val="0081210E"/>
    <w:rsid w:val="00890A82"/>
    <w:rsid w:val="008C1608"/>
    <w:rsid w:val="008D738A"/>
    <w:rsid w:val="00913446"/>
    <w:rsid w:val="00920B16"/>
    <w:rsid w:val="00941130"/>
    <w:rsid w:val="00942271"/>
    <w:rsid w:val="009A29E0"/>
    <w:rsid w:val="009D711B"/>
    <w:rsid w:val="00A01120"/>
    <w:rsid w:val="00A20DDC"/>
    <w:rsid w:val="00A85606"/>
    <w:rsid w:val="00B00F31"/>
    <w:rsid w:val="00B026D9"/>
    <w:rsid w:val="00B36763"/>
    <w:rsid w:val="00B63513"/>
    <w:rsid w:val="00B64AB5"/>
    <w:rsid w:val="00C1515C"/>
    <w:rsid w:val="00C53C8A"/>
    <w:rsid w:val="00C855C3"/>
    <w:rsid w:val="00C95A2E"/>
    <w:rsid w:val="00CC5B4F"/>
    <w:rsid w:val="00CC7E48"/>
    <w:rsid w:val="00CE3B05"/>
    <w:rsid w:val="00D85FAC"/>
    <w:rsid w:val="00E25997"/>
    <w:rsid w:val="00E84D1D"/>
    <w:rsid w:val="00F3495A"/>
    <w:rsid w:val="00F630BE"/>
    <w:rsid w:val="00F7776D"/>
    <w:rsid w:val="00FA46EE"/>
    <w:rsid w:val="00FA6012"/>
    <w:rsid w:val="00FD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FEE90D"/>
  <w15:chartTrackingRefBased/>
  <w15:docId w15:val="{D978D485-43F9-4E6B-B075-A5A28ABD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0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0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60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60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60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60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60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0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0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60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60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60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60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60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60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0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0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60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6012"/>
    <w:rPr>
      <w:i/>
      <w:iCs/>
      <w:color w:val="404040" w:themeColor="text1" w:themeTint="BF"/>
    </w:rPr>
  </w:style>
  <w:style w:type="paragraph" w:styleId="ListParagraph">
    <w:name w:val="List Paragraph"/>
    <w:basedOn w:val="Normal"/>
    <w:uiPriority w:val="34"/>
    <w:qFormat/>
    <w:rsid w:val="00FA6012"/>
    <w:pPr>
      <w:ind w:left="720"/>
      <w:contextualSpacing/>
    </w:pPr>
  </w:style>
  <w:style w:type="character" w:styleId="IntenseEmphasis">
    <w:name w:val="Intense Emphasis"/>
    <w:basedOn w:val="DefaultParagraphFont"/>
    <w:uiPriority w:val="21"/>
    <w:qFormat/>
    <w:rsid w:val="00FA6012"/>
    <w:rPr>
      <w:i/>
      <w:iCs/>
      <w:color w:val="0F4761" w:themeColor="accent1" w:themeShade="BF"/>
    </w:rPr>
  </w:style>
  <w:style w:type="paragraph" w:styleId="IntenseQuote">
    <w:name w:val="Intense Quote"/>
    <w:basedOn w:val="Normal"/>
    <w:next w:val="Normal"/>
    <w:link w:val="IntenseQuoteChar"/>
    <w:uiPriority w:val="30"/>
    <w:qFormat/>
    <w:rsid w:val="00FA6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012"/>
    <w:rPr>
      <w:i/>
      <w:iCs/>
      <w:color w:val="0F4761" w:themeColor="accent1" w:themeShade="BF"/>
    </w:rPr>
  </w:style>
  <w:style w:type="character" w:styleId="IntenseReference">
    <w:name w:val="Intense Reference"/>
    <w:basedOn w:val="DefaultParagraphFont"/>
    <w:uiPriority w:val="32"/>
    <w:qFormat/>
    <w:rsid w:val="00FA6012"/>
    <w:rPr>
      <w:b/>
      <w:bCs/>
      <w:smallCaps/>
      <w:color w:val="0F4761" w:themeColor="accent1" w:themeShade="BF"/>
      <w:spacing w:val="5"/>
    </w:rPr>
  </w:style>
  <w:style w:type="paragraph" w:styleId="Header">
    <w:name w:val="header"/>
    <w:basedOn w:val="Normal"/>
    <w:link w:val="HeaderChar"/>
    <w:uiPriority w:val="99"/>
    <w:unhideWhenUsed/>
    <w:rsid w:val="00B36763"/>
    <w:pPr>
      <w:tabs>
        <w:tab w:val="center" w:pos="4680"/>
        <w:tab w:val="right" w:pos="9360"/>
      </w:tabs>
    </w:pPr>
  </w:style>
  <w:style w:type="character" w:customStyle="1" w:styleId="HeaderChar">
    <w:name w:val="Header Char"/>
    <w:basedOn w:val="DefaultParagraphFont"/>
    <w:link w:val="Header"/>
    <w:uiPriority w:val="99"/>
    <w:rsid w:val="00B36763"/>
  </w:style>
  <w:style w:type="paragraph" w:styleId="Footer">
    <w:name w:val="footer"/>
    <w:basedOn w:val="Normal"/>
    <w:link w:val="FooterChar"/>
    <w:uiPriority w:val="99"/>
    <w:unhideWhenUsed/>
    <w:rsid w:val="00B36763"/>
    <w:pPr>
      <w:tabs>
        <w:tab w:val="center" w:pos="4680"/>
        <w:tab w:val="right" w:pos="9360"/>
      </w:tabs>
    </w:pPr>
  </w:style>
  <w:style w:type="character" w:customStyle="1" w:styleId="FooterChar">
    <w:name w:val="Footer Char"/>
    <w:basedOn w:val="DefaultParagraphFont"/>
    <w:link w:val="Footer"/>
    <w:uiPriority w:val="99"/>
    <w:rsid w:val="00B36763"/>
  </w:style>
  <w:style w:type="character" w:styleId="Hyperlink">
    <w:name w:val="Hyperlink"/>
    <w:basedOn w:val="DefaultParagraphFont"/>
    <w:uiPriority w:val="99"/>
    <w:unhideWhenUsed/>
    <w:rsid w:val="00B63513"/>
    <w:rPr>
      <w:color w:val="467886" w:themeColor="hyperlink"/>
      <w:u w:val="single"/>
    </w:rPr>
  </w:style>
  <w:style w:type="character" w:styleId="UnresolvedMention">
    <w:name w:val="Unresolved Mention"/>
    <w:basedOn w:val="DefaultParagraphFont"/>
    <w:uiPriority w:val="99"/>
    <w:semiHidden/>
    <w:unhideWhenUsed/>
    <w:rsid w:val="00B63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marisk.gov/wp-content/uploads/Manual_RiskControlTransfer_2023_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May</dc:creator>
  <cp:keywords/>
  <dc:description/>
  <cp:lastModifiedBy>Beth Lyons</cp:lastModifiedBy>
  <cp:revision>6</cp:revision>
  <dcterms:created xsi:type="dcterms:W3CDTF">2024-02-27T17:27:00Z</dcterms:created>
  <dcterms:modified xsi:type="dcterms:W3CDTF">2024-03-11T14:51:00Z</dcterms:modified>
</cp:coreProperties>
</file>