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52887" w14:textId="77777777" w:rsidR="00D275F2" w:rsidRPr="00D275F2" w:rsidRDefault="00D275F2" w:rsidP="00D275F2">
      <w:pPr>
        <w:pStyle w:val="xxmsonormal"/>
        <w:rPr>
          <w:rFonts w:ascii="Century Gothic" w:hAnsi="Century Gothic"/>
          <w:sz w:val="24"/>
          <w:szCs w:val="24"/>
        </w:rPr>
      </w:pPr>
      <w:r w:rsidRPr="00D275F2">
        <w:rPr>
          <w:rFonts w:ascii="Century Gothic" w:hAnsi="Century Gothic"/>
          <w:sz w:val="24"/>
          <w:szCs w:val="24"/>
        </w:rPr>
        <w:t>Good afternoon,</w:t>
      </w:r>
    </w:p>
    <w:p w14:paraId="58E0B349" w14:textId="77777777" w:rsidR="00D275F2" w:rsidRPr="00D275F2" w:rsidRDefault="00D275F2" w:rsidP="00D275F2">
      <w:pPr>
        <w:pStyle w:val="xxmsonormal"/>
        <w:rPr>
          <w:rFonts w:ascii="Century Gothic" w:hAnsi="Century Gothic"/>
          <w:sz w:val="24"/>
          <w:szCs w:val="24"/>
        </w:rPr>
      </w:pPr>
      <w:r w:rsidRPr="00D275F2">
        <w:rPr>
          <w:rFonts w:ascii="Century Gothic" w:hAnsi="Century Gothic"/>
          <w:sz w:val="24"/>
          <w:szCs w:val="24"/>
        </w:rPr>
        <w:t> </w:t>
      </w:r>
    </w:p>
    <w:p w14:paraId="3F4AD541" w14:textId="77777777" w:rsidR="00D275F2" w:rsidRPr="00D275F2" w:rsidRDefault="00D275F2" w:rsidP="00D275F2">
      <w:pPr>
        <w:pStyle w:val="xxmsonormal"/>
        <w:rPr>
          <w:rFonts w:ascii="Century Gothic" w:hAnsi="Century Gothic"/>
          <w:sz w:val="24"/>
          <w:szCs w:val="24"/>
        </w:rPr>
      </w:pPr>
      <w:r w:rsidRPr="00D275F2">
        <w:rPr>
          <w:rFonts w:ascii="Century Gothic" w:hAnsi="Century Gothic"/>
          <w:sz w:val="24"/>
          <w:szCs w:val="24"/>
        </w:rPr>
        <w:t xml:space="preserve">On February 9, 2022, Governor Newsom signed into law Senate Bill (SB) 114. </w:t>
      </w:r>
      <w:hyperlink r:id="rId5" w:history="1">
        <w:r w:rsidRPr="00D275F2">
          <w:rPr>
            <w:rStyle w:val="Hyperlink"/>
            <w:rFonts w:ascii="Century Gothic" w:hAnsi="Century Gothic"/>
            <w:sz w:val="24"/>
            <w:szCs w:val="24"/>
          </w:rPr>
          <w:t>SB 114</w:t>
        </w:r>
      </w:hyperlink>
      <w:r w:rsidRPr="00D275F2">
        <w:rPr>
          <w:rFonts w:ascii="Century Gothic" w:hAnsi="Century Gothic"/>
          <w:sz w:val="24"/>
          <w:szCs w:val="24"/>
        </w:rPr>
        <w:t xml:space="preserve"> reinstates COVID-19 Supplemental Paid Sick Leave (SPSL) for all employers that have more than 25 employees. The mandated leave is retroactive to January 1, 2022, and is effective until September 30, 2022, with the requirements going into effect as of February 19, 2022.  </w:t>
      </w:r>
    </w:p>
    <w:p w14:paraId="34E4015F" w14:textId="77777777" w:rsidR="00D275F2" w:rsidRPr="00D275F2" w:rsidRDefault="00D275F2" w:rsidP="00D275F2">
      <w:pPr>
        <w:pStyle w:val="xxmsonormal"/>
        <w:rPr>
          <w:rFonts w:ascii="Century Gothic" w:hAnsi="Century Gothic"/>
          <w:sz w:val="24"/>
          <w:szCs w:val="24"/>
        </w:rPr>
      </w:pPr>
      <w:r w:rsidRPr="00D275F2">
        <w:rPr>
          <w:rFonts w:ascii="Century Gothic" w:hAnsi="Century Gothic"/>
          <w:sz w:val="24"/>
          <w:szCs w:val="24"/>
        </w:rPr>
        <w:t> </w:t>
      </w:r>
    </w:p>
    <w:p w14:paraId="2A155C6D" w14:textId="77777777" w:rsidR="00D275F2" w:rsidRPr="00D275F2" w:rsidRDefault="00D275F2" w:rsidP="00D275F2">
      <w:pPr>
        <w:pStyle w:val="xxmsonormal"/>
        <w:rPr>
          <w:rFonts w:ascii="Century Gothic" w:hAnsi="Century Gothic"/>
          <w:sz w:val="24"/>
          <w:szCs w:val="24"/>
        </w:rPr>
      </w:pPr>
      <w:r w:rsidRPr="00D275F2">
        <w:rPr>
          <w:rFonts w:ascii="Century Gothic" w:hAnsi="Century Gothic"/>
          <w:sz w:val="24"/>
          <w:szCs w:val="24"/>
        </w:rPr>
        <w:t xml:space="preserve">While SB 114 addresses general leave requirements for COVID-19, there is potential for overlap with workers’ compensation benefits as previously defined in </w:t>
      </w:r>
      <w:hyperlink r:id="rId6" w:history="1">
        <w:r w:rsidRPr="00D275F2">
          <w:rPr>
            <w:rStyle w:val="Hyperlink"/>
            <w:rFonts w:ascii="Century Gothic" w:hAnsi="Century Gothic"/>
            <w:sz w:val="24"/>
            <w:szCs w:val="24"/>
          </w:rPr>
          <w:t>SB 1159</w:t>
        </w:r>
      </w:hyperlink>
      <w:r w:rsidRPr="00D275F2">
        <w:rPr>
          <w:rFonts w:ascii="Century Gothic" w:hAnsi="Century Gothic"/>
          <w:sz w:val="24"/>
          <w:szCs w:val="24"/>
        </w:rPr>
        <w:t xml:space="preserve">, which states that mandated COVID-19 SPSL be exhausted prior to issuance of temporary disability or Labor Code 4850 benefits on presumptive claims filed for COVID-19. </w:t>
      </w:r>
    </w:p>
    <w:p w14:paraId="10877CF2" w14:textId="77777777" w:rsidR="00D275F2" w:rsidRPr="00D275F2" w:rsidRDefault="00D275F2" w:rsidP="00D275F2">
      <w:pPr>
        <w:pStyle w:val="xxmsonormal"/>
        <w:rPr>
          <w:rFonts w:ascii="Century Gothic" w:hAnsi="Century Gothic"/>
          <w:sz w:val="24"/>
          <w:szCs w:val="24"/>
        </w:rPr>
      </w:pPr>
    </w:p>
    <w:p w14:paraId="38D0FDFF" w14:textId="77777777" w:rsidR="00D275F2" w:rsidRPr="00D275F2" w:rsidRDefault="00D275F2" w:rsidP="00D275F2">
      <w:pPr>
        <w:pStyle w:val="xxmsonormal"/>
        <w:rPr>
          <w:rFonts w:ascii="Century Gothic" w:hAnsi="Century Gothic"/>
          <w:sz w:val="24"/>
          <w:szCs w:val="24"/>
        </w:rPr>
      </w:pPr>
      <w:r w:rsidRPr="00D275F2">
        <w:rPr>
          <w:rFonts w:ascii="Century Gothic" w:hAnsi="Century Gothic"/>
          <w:b/>
          <w:bCs/>
          <w:sz w:val="24"/>
          <w:szCs w:val="24"/>
        </w:rPr>
        <w:t>Workers’ Compensation Benefits and SB 114:</w:t>
      </w:r>
    </w:p>
    <w:p w14:paraId="44ACEE50" w14:textId="77777777" w:rsidR="00D275F2" w:rsidRPr="00D275F2" w:rsidRDefault="00D275F2" w:rsidP="00D275F2">
      <w:pPr>
        <w:pStyle w:val="xxmsonormal"/>
        <w:rPr>
          <w:rFonts w:ascii="Century Gothic" w:hAnsi="Century Gothic"/>
          <w:sz w:val="24"/>
          <w:szCs w:val="24"/>
        </w:rPr>
      </w:pPr>
      <w:r w:rsidRPr="00D275F2">
        <w:rPr>
          <w:rFonts w:ascii="Century Gothic" w:hAnsi="Century Gothic"/>
          <w:sz w:val="24"/>
          <w:szCs w:val="24"/>
        </w:rPr>
        <w:t> </w:t>
      </w:r>
    </w:p>
    <w:p w14:paraId="393F4243" w14:textId="77777777" w:rsidR="00D275F2" w:rsidRPr="00D275F2" w:rsidRDefault="00D275F2" w:rsidP="00D275F2">
      <w:pPr>
        <w:pStyle w:val="xmsolistparagraph"/>
        <w:numPr>
          <w:ilvl w:val="0"/>
          <w:numId w:val="1"/>
        </w:numPr>
        <w:rPr>
          <w:rFonts w:ascii="Century Gothic" w:eastAsia="Times New Roman" w:hAnsi="Century Gothic"/>
          <w:sz w:val="24"/>
          <w:szCs w:val="24"/>
        </w:rPr>
      </w:pPr>
      <w:r w:rsidRPr="00D275F2">
        <w:rPr>
          <w:rFonts w:ascii="Century Gothic" w:eastAsia="Times New Roman" w:hAnsi="Century Gothic"/>
          <w:sz w:val="24"/>
          <w:szCs w:val="24"/>
        </w:rPr>
        <w:t xml:space="preserve">For non-presumptive COVID-19 claims – If payment for temporary disability was issued, those payments made from the claim file will remain.  </w:t>
      </w:r>
    </w:p>
    <w:p w14:paraId="4ADDDDF4" w14:textId="77777777" w:rsidR="00D275F2" w:rsidRPr="00D275F2" w:rsidRDefault="00D275F2" w:rsidP="00D275F2">
      <w:pPr>
        <w:pStyle w:val="xmsolistparagraph"/>
        <w:rPr>
          <w:rFonts w:ascii="Century Gothic" w:hAnsi="Century Gothic"/>
          <w:sz w:val="24"/>
          <w:szCs w:val="24"/>
        </w:rPr>
      </w:pPr>
      <w:r w:rsidRPr="00D275F2">
        <w:rPr>
          <w:rFonts w:ascii="Century Gothic" w:hAnsi="Century Gothic"/>
          <w:sz w:val="24"/>
          <w:szCs w:val="24"/>
        </w:rPr>
        <w:t> </w:t>
      </w:r>
    </w:p>
    <w:p w14:paraId="3C98BCC5" w14:textId="77777777" w:rsidR="00D275F2" w:rsidRPr="00D275F2" w:rsidRDefault="00D275F2" w:rsidP="00D275F2">
      <w:pPr>
        <w:pStyle w:val="xmsolistparagraph"/>
        <w:numPr>
          <w:ilvl w:val="1"/>
          <w:numId w:val="2"/>
        </w:numPr>
        <w:rPr>
          <w:rFonts w:ascii="Century Gothic" w:eastAsia="Times New Roman" w:hAnsi="Century Gothic"/>
          <w:sz w:val="24"/>
          <w:szCs w:val="24"/>
        </w:rPr>
      </w:pPr>
      <w:r w:rsidRPr="00D275F2">
        <w:rPr>
          <w:rFonts w:ascii="Century Gothic" w:eastAsia="Times New Roman" w:hAnsi="Century Gothic"/>
          <w:sz w:val="24"/>
          <w:szCs w:val="24"/>
        </w:rPr>
        <w:t xml:space="preserve">Note: Under SB 114, for those claimants that received temporary disability benefits and were paid less than they would receive if working, the employee can request from their employer supplemental COVID-19 leave to make them whole with their normal wage. This supplemental pay is not charged to the claim file. </w:t>
      </w:r>
    </w:p>
    <w:p w14:paraId="4A8EB752" w14:textId="77777777" w:rsidR="00D275F2" w:rsidRPr="00D275F2" w:rsidRDefault="00D275F2" w:rsidP="00D275F2">
      <w:pPr>
        <w:pStyle w:val="xmsolistparagraph"/>
        <w:ind w:left="1440"/>
        <w:rPr>
          <w:rFonts w:ascii="Century Gothic" w:hAnsi="Century Gothic"/>
          <w:sz w:val="24"/>
          <w:szCs w:val="24"/>
        </w:rPr>
      </w:pPr>
      <w:r w:rsidRPr="00D275F2">
        <w:rPr>
          <w:rFonts w:ascii="Century Gothic" w:hAnsi="Century Gothic"/>
          <w:sz w:val="24"/>
          <w:szCs w:val="24"/>
        </w:rPr>
        <w:t> </w:t>
      </w:r>
    </w:p>
    <w:p w14:paraId="601B91E3" w14:textId="77777777" w:rsidR="00D275F2" w:rsidRPr="00D275F2" w:rsidRDefault="00D275F2" w:rsidP="00D275F2">
      <w:pPr>
        <w:pStyle w:val="xmsolistparagraph"/>
        <w:numPr>
          <w:ilvl w:val="0"/>
          <w:numId w:val="3"/>
        </w:numPr>
        <w:rPr>
          <w:rFonts w:ascii="Century Gothic" w:eastAsia="Times New Roman" w:hAnsi="Century Gothic"/>
          <w:sz w:val="24"/>
          <w:szCs w:val="24"/>
        </w:rPr>
      </w:pPr>
      <w:r w:rsidRPr="00D275F2">
        <w:rPr>
          <w:rFonts w:ascii="Century Gothic" w:eastAsia="Times New Roman" w:hAnsi="Century Gothic"/>
          <w:sz w:val="24"/>
          <w:szCs w:val="24"/>
        </w:rPr>
        <w:t xml:space="preserve">For presumptive COVID-19 claims (SB 1159 applies) – if payment was made for temporary disability or Labor Code 4850 benefits, the payments will need to be adjusted as SB 1159 </w:t>
      </w:r>
      <w:r w:rsidRPr="00D275F2">
        <w:rPr>
          <w:rFonts w:ascii="Century Gothic" w:eastAsia="Times New Roman" w:hAnsi="Century Gothic"/>
          <w:sz w:val="24"/>
          <w:szCs w:val="24"/>
          <w:u w:val="single"/>
        </w:rPr>
        <w:t>requires</w:t>
      </w:r>
      <w:r w:rsidRPr="00D275F2">
        <w:rPr>
          <w:rFonts w:ascii="Century Gothic" w:eastAsia="Times New Roman" w:hAnsi="Century Gothic"/>
          <w:sz w:val="24"/>
          <w:szCs w:val="24"/>
        </w:rPr>
        <w:t xml:space="preserve"> that COVID-19 leave be exhausted prior to issuance of those benefits off the claim file. This DOES NOT require any request from the employee.</w:t>
      </w:r>
    </w:p>
    <w:p w14:paraId="1CB8AE26" w14:textId="77777777" w:rsidR="00D275F2" w:rsidRPr="00D275F2" w:rsidRDefault="00D275F2" w:rsidP="00D275F2">
      <w:pPr>
        <w:pStyle w:val="xmsolistparagraph"/>
        <w:rPr>
          <w:rFonts w:ascii="Century Gothic" w:hAnsi="Century Gothic"/>
          <w:sz w:val="24"/>
          <w:szCs w:val="24"/>
        </w:rPr>
      </w:pPr>
      <w:r w:rsidRPr="00D275F2">
        <w:rPr>
          <w:rFonts w:ascii="Century Gothic" w:hAnsi="Century Gothic"/>
          <w:sz w:val="24"/>
          <w:szCs w:val="24"/>
        </w:rPr>
        <w:t> </w:t>
      </w:r>
    </w:p>
    <w:p w14:paraId="73FDA4DE" w14:textId="77777777" w:rsidR="00D275F2" w:rsidRPr="00D275F2" w:rsidRDefault="00D275F2" w:rsidP="00D275F2">
      <w:pPr>
        <w:pStyle w:val="xmsolistparagraph"/>
        <w:numPr>
          <w:ilvl w:val="1"/>
          <w:numId w:val="4"/>
        </w:numPr>
        <w:rPr>
          <w:rFonts w:ascii="Century Gothic" w:eastAsia="Times New Roman" w:hAnsi="Century Gothic"/>
          <w:sz w:val="24"/>
          <w:szCs w:val="24"/>
        </w:rPr>
      </w:pPr>
      <w:r w:rsidRPr="00D275F2">
        <w:rPr>
          <w:rFonts w:ascii="Century Gothic" w:eastAsia="Times New Roman" w:hAnsi="Century Gothic"/>
          <w:sz w:val="24"/>
          <w:szCs w:val="24"/>
        </w:rPr>
        <w:t xml:space="preserve">Note: If your entity has had loss time benefits paid </w:t>
      </w:r>
      <w:proofErr w:type="gramStart"/>
      <w:r w:rsidRPr="00D275F2">
        <w:rPr>
          <w:rFonts w:ascii="Century Gothic" w:eastAsia="Times New Roman" w:hAnsi="Century Gothic"/>
          <w:sz w:val="24"/>
          <w:szCs w:val="24"/>
        </w:rPr>
        <w:t>off of</w:t>
      </w:r>
      <w:proofErr w:type="gramEnd"/>
      <w:r w:rsidRPr="00D275F2">
        <w:rPr>
          <w:rFonts w:ascii="Century Gothic" w:eastAsia="Times New Roman" w:hAnsi="Century Gothic"/>
          <w:sz w:val="24"/>
          <w:szCs w:val="24"/>
        </w:rPr>
        <w:t xml:space="preserve"> a presumptively compensable workers’ compensation claim as of January 1, 2022, meeting the qualification requirements under SB 114, you will receive further communication from your claims examiner to retroactively address those loss time benefits that are now to be classified under SB 114’s required SPSL.</w:t>
      </w:r>
    </w:p>
    <w:p w14:paraId="64AADA46" w14:textId="77777777" w:rsidR="00D275F2" w:rsidRPr="00D275F2" w:rsidRDefault="00D275F2" w:rsidP="00D275F2">
      <w:pPr>
        <w:pStyle w:val="xmsolistparagraph"/>
        <w:numPr>
          <w:ilvl w:val="1"/>
          <w:numId w:val="4"/>
        </w:numPr>
        <w:rPr>
          <w:rFonts w:ascii="Century Gothic" w:eastAsia="Times New Roman" w:hAnsi="Century Gothic"/>
          <w:sz w:val="24"/>
          <w:szCs w:val="24"/>
        </w:rPr>
      </w:pPr>
      <w:r w:rsidRPr="00D275F2">
        <w:rPr>
          <w:rFonts w:ascii="Century Gothic" w:eastAsia="Times New Roman" w:hAnsi="Century Gothic"/>
          <w:sz w:val="24"/>
          <w:szCs w:val="24"/>
        </w:rPr>
        <w:t>For as long as this SPSL is in effect, you will need to notify your claims examiner when a claimant has exhausted their leave, so that it can be determined if further benefits are due to be paid off the claim file.</w:t>
      </w:r>
    </w:p>
    <w:p w14:paraId="09849290" w14:textId="77777777" w:rsidR="00D275F2" w:rsidRPr="00D275F2" w:rsidRDefault="00D275F2" w:rsidP="00D275F2">
      <w:pPr>
        <w:pStyle w:val="xmsolistparagraph"/>
        <w:ind w:left="0"/>
        <w:rPr>
          <w:rFonts w:ascii="Century Gothic" w:hAnsi="Century Gothic"/>
          <w:sz w:val="24"/>
          <w:szCs w:val="24"/>
        </w:rPr>
      </w:pPr>
    </w:p>
    <w:p w14:paraId="3DF75DB4" w14:textId="77777777" w:rsidR="00D275F2" w:rsidRPr="00D275F2" w:rsidRDefault="00D275F2" w:rsidP="00D275F2">
      <w:pPr>
        <w:pStyle w:val="xmsolistparagraph"/>
        <w:numPr>
          <w:ilvl w:val="0"/>
          <w:numId w:val="4"/>
        </w:numPr>
        <w:rPr>
          <w:rFonts w:ascii="Century Gothic" w:eastAsia="Times New Roman" w:hAnsi="Century Gothic"/>
          <w:sz w:val="24"/>
          <w:szCs w:val="24"/>
        </w:rPr>
      </w:pPr>
      <w:r w:rsidRPr="00D275F2">
        <w:rPr>
          <w:rFonts w:ascii="Century Gothic" w:eastAsia="Times New Roman" w:hAnsi="Century Gothic"/>
          <w:sz w:val="24"/>
          <w:szCs w:val="24"/>
        </w:rPr>
        <w:lastRenderedPageBreak/>
        <w:t>As a reminder, if loss time benefits are to be paid from the claim file, written medical verification documenting a specific period of disability is required to determine if temporary disability or Labor Code benefits are due.</w:t>
      </w:r>
    </w:p>
    <w:p w14:paraId="55D28F7E" w14:textId="77777777" w:rsidR="00D275F2" w:rsidRPr="00D275F2" w:rsidRDefault="00D275F2" w:rsidP="00D275F2">
      <w:pPr>
        <w:pStyle w:val="xxmsonormal"/>
        <w:rPr>
          <w:rFonts w:ascii="Century Gothic" w:hAnsi="Century Gothic"/>
          <w:sz w:val="24"/>
          <w:szCs w:val="24"/>
        </w:rPr>
      </w:pPr>
      <w:r w:rsidRPr="00D275F2">
        <w:rPr>
          <w:rFonts w:ascii="Century Gothic" w:hAnsi="Century Gothic"/>
          <w:sz w:val="24"/>
          <w:szCs w:val="24"/>
        </w:rPr>
        <w:t> </w:t>
      </w:r>
    </w:p>
    <w:p w14:paraId="09D7AB18" w14:textId="77777777" w:rsidR="00D275F2" w:rsidRPr="00D275F2" w:rsidRDefault="00D275F2" w:rsidP="00D275F2">
      <w:pPr>
        <w:pStyle w:val="xxmsonormal"/>
        <w:rPr>
          <w:rFonts w:ascii="Century Gothic" w:hAnsi="Century Gothic"/>
          <w:sz w:val="24"/>
          <w:szCs w:val="24"/>
        </w:rPr>
      </w:pPr>
      <w:r w:rsidRPr="00D275F2">
        <w:rPr>
          <w:rFonts w:ascii="Century Gothic" w:hAnsi="Century Gothic"/>
          <w:sz w:val="24"/>
          <w:szCs w:val="24"/>
        </w:rPr>
        <w:t xml:space="preserve">Employers will need to determine how to retroactively address the SPSL so that it is applied in accordance with the new requirements. It is recommended that you consult with your human resources or legal counsel or the California Labor Commission to address compliance. </w:t>
      </w:r>
    </w:p>
    <w:p w14:paraId="31CB74C9" w14:textId="77777777" w:rsidR="00D275F2" w:rsidRPr="00D275F2" w:rsidRDefault="00D275F2" w:rsidP="00D275F2">
      <w:pPr>
        <w:rPr>
          <w:rFonts w:ascii="Century Gothic" w:hAnsi="Century Gothic"/>
          <w:sz w:val="24"/>
          <w:szCs w:val="24"/>
        </w:rPr>
      </w:pPr>
    </w:p>
    <w:p w14:paraId="654C1E48" w14:textId="77777777" w:rsidR="00D275F2" w:rsidRPr="00D275F2" w:rsidRDefault="00D275F2" w:rsidP="00D275F2">
      <w:pPr>
        <w:rPr>
          <w:rFonts w:ascii="Century Gothic" w:hAnsi="Century Gothic"/>
          <w:sz w:val="24"/>
          <w:szCs w:val="24"/>
        </w:rPr>
      </w:pPr>
      <w:r w:rsidRPr="00D275F2">
        <w:rPr>
          <w:rFonts w:ascii="Century Gothic" w:hAnsi="Century Gothic"/>
          <w:sz w:val="24"/>
          <w:szCs w:val="24"/>
        </w:rPr>
        <w:t>Thank you,</w:t>
      </w:r>
    </w:p>
    <w:p w14:paraId="34329323" w14:textId="77777777" w:rsidR="00D275F2" w:rsidRPr="00D275F2" w:rsidRDefault="00D275F2" w:rsidP="00D275F2">
      <w:pPr>
        <w:shd w:val="clear" w:color="auto" w:fill="FFFFFF"/>
        <w:rPr>
          <w:color w:val="666666"/>
          <w:sz w:val="24"/>
          <w:szCs w:val="24"/>
        </w:rPr>
      </w:pPr>
    </w:p>
    <w:p w14:paraId="13437D89" w14:textId="77777777" w:rsidR="00D275F2" w:rsidRPr="00D275F2" w:rsidRDefault="00D275F2" w:rsidP="00D275F2">
      <w:pPr>
        <w:shd w:val="clear" w:color="auto" w:fill="FFFFFF"/>
        <w:rPr>
          <w:color w:val="666666"/>
          <w:sz w:val="24"/>
          <w:szCs w:val="24"/>
        </w:rPr>
      </w:pPr>
      <w:r w:rsidRPr="00D275F2">
        <w:rPr>
          <w:b/>
          <w:bCs/>
          <w:color w:val="666666"/>
          <w:sz w:val="24"/>
          <w:szCs w:val="24"/>
        </w:rPr>
        <w:t>Tammy Vitali</w:t>
      </w:r>
      <w:r w:rsidRPr="00D275F2">
        <w:rPr>
          <w:color w:val="666666"/>
          <w:sz w:val="24"/>
          <w:szCs w:val="24"/>
        </w:rPr>
        <w:t xml:space="preserve"> | </w:t>
      </w:r>
      <w:r w:rsidRPr="00D275F2">
        <w:rPr>
          <w:color w:val="595959"/>
          <w:sz w:val="24"/>
          <w:szCs w:val="24"/>
        </w:rPr>
        <w:t>LAWCX Claims Manager |Senior Advisor, Workers' Compensation</w:t>
      </w:r>
    </w:p>
    <w:p w14:paraId="1F339FC0" w14:textId="77777777" w:rsidR="00D275F2" w:rsidRPr="00D275F2" w:rsidRDefault="00D275F2" w:rsidP="00D275F2">
      <w:pPr>
        <w:shd w:val="clear" w:color="auto" w:fill="FFFFFF"/>
        <w:rPr>
          <w:color w:val="666666"/>
          <w:sz w:val="24"/>
          <w:szCs w:val="24"/>
        </w:rPr>
      </w:pPr>
      <w:r w:rsidRPr="00D275F2">
        <w:rPr>
          <w:b/>
          <w:bCs/>
          <w:color w:val="666666"/>
          <w:sz w:val="24"/>
          <w:szCs w:val="24"/>
        </w:rPr>
        <w:t>Sedgwick</w:t>
      </w:r>
    </w:p>
    <w:p w14:paraId="1A845E52" w14:textId="77777777" w:rsidR="00D275F2" w:rsidRPr="00D275F2" w:rsidRDefault="00D275F2" w:rsidP="00D275F2">
      <w:pPr>
        <w:shd w:val="clear" w:color="auto" w:fill="FFFFFF"/>
        <w:rPr>
          <w:color w:val="666666"/>
          <w:sz w:val="24"/>
          <w:szCs w:val="24"/>
        </w:rPr>
      </w:pPr>
      <w:r w:rsidRPr="00D275F2">
        <w:rPr>
          <w:color w:val="666666"/>
          <w:sz w:val="24"/>
          <w:szCs w:val="24"/>
        </w:rPr>
        <w:t>Sacramento, CA</w:t>
      </w:r>
    </w:p>
    <w:p w14:paraId="632333E6" w14:textId="77777777" w:rsidR="00D275F2" w:rsidRPr="00D275F2" w:rsidRDefault="00D275F2" w:rsidP="00D275F2">
      <w:pPr>
        <w:shd w:val="clear" w:color="auto" w:fill="FFFFFF"/>
        <w:rPr>
          <w:caps/>
          <w:color w:val="666666"/>
          <w:sz w:val="24"/>
          <w:szCs w:val="24"/>
        </w:rPr>
      </w:pPr>
      <w:r w:rsidRPr="00D275F2">
        <w:rPr>
          <w:caps/>
          <w:color w:val="666666"/>
          <w:sz w:val="24"/>
          <w:szCs w:val="24"/>
        </w:rPr>
        <w:t>DIRECT 916.244.1114 | FAX 916.244.1198</w:t>
      </w:r>
    </w:p>
    <w:p w14:paraId="588ADCAA" w14:textId="77777777" w:rsidR="00D275F2" w:rsidRPr="00D275F2" w:rsidRDefault="00D275F2" w:rsidP="00D275F2">
      <w:pPr>
        <w:shd w:val="clear" w:color="auto" w:fill="FFFFFF"/>
        <w:rPr>
          <w:caps/>
          <w:color w:val="666666"/>
          <w:sz w:val="24"/>
          <w:szCs w:val="24"/>
        </w:rPr>
      </w:pPr>
      <w:r w:rsidRPr="00D275F2">
        <w:rPr>
          <w:caps/>
          <w:color w:val="666666"/>
          <w:sz w:val="24"/>
          <w:szCs w:val="24"/>
        </w:rPr>
        <w:t>EMAIL </w:t>
      </w:r>
      <w:hyperlink r:id="rId7" w:tgtFrame="_blank" w:history="1">
        <w:r w:rsidRPr="00D275F2">
          <w:rPr>
            <w:rStyle w:val="Hyperlink"/>
            <w:color w:val="1155CC"/>
            <w:sz w:val="24"/>
            <w:szCs w:val="24"/>
          </w:rPr>
          <w:t>tammy.vitali@sedgwick.com</w:t>
        </w:r>
      </w:hyperlink>
      <w:r w:rsidRPr="00D275F2">
        <w:rPr>
          <w:color w:val="666666"/>
          <w:sz w:val="24"/>
          <w:szCs w:val="24"/>
        </w:rPr>
        <w:t xml:space="preserve"> </w:t>
      </w:r>
    </w:p>
    <w:p w14:paraId="624044FD" w14:textId="77777777" w:rsidR="00D275F2" w:rsidRPr="00D275F2" w:rsidRDefault="00D275F2" w:rsidP="00D275F2">
      <w:pPr>
        <w:rPr>
          <w:color w:val="666666"/>
          <w:sz w:val="24"/>
          <w:szCs w:val="24"/>
          <w:shd w:val="clear" w:color="auto" w:fill="FFFFFF"/>
        </w:rPr>
      </w:pPr>
      <w:hyperlink r:id="rId8" w:tgtFrame="_blank" w:history="1">
        <w:r w:rsidRPr="00D275F2">
          <w:rPr>
            <w:rStyle w:val="Hyperlink"/>
            <w:color w:val="666666"/>
            <w:sz w:val="24"/>
            <w:szCs w:val="24"/>
            <w:shd w:val="clear" w:color="auto" w:fill="FFFFFF"/>
          </w:rPr>
          <w:t>www.sedgwick.com</w:t>
        </w:r>
      </w:hyperlink>
      <w:r w:rsidRPr="00D275F2">
        <w:rPr>
          <w:color w:val="666666"/>
          <w:sz w:val="24"/>
          <w:szCs w:val="24"/>
          <w:shd w:val="clear" w:color="auto" w:fill="FFFFFF"/>
        </w:rPr>
        <w:t> | Caring counts®</w:t>
      </w:r>
    </w:p>
    <w:p w14:paraId="56A398F1" w14:textId="77777777" w:rsidR="00D275F2" w:rsidRPr="00D275F2" w:rsidRDefault="00D275F2" w:rsidP="00D275F2">
      <w:pPr>
        <w:rPr>
          <w:color w:val="666666"/>
          <w:sz w:val="24"/>
          <w:szCs w:val="24"/>
          <w:shd w:val="clear" w:color="auto" w:fill="FFFFFF"/>
        </w:rPr>
      </w:pPr>
    </w:p>
    <w:p w14:paraId="5D2F3921" w14:textId="488EFD12" w:rsidR="00D275F2" w:rsidRPr="00D275F2" w:rsidRDefault="00D275F2" w:rsidP="00D275F2">
      <w:pPr>
        <w:rPr>
          <w:sz w:val="24"/>
          <w:szCs w:val="24"/>
        </w:rPr>
      </w:pPr>
      <w:r w:rsidRPr="00D275F2">
        <w:rPr>
          <w:noProof/>
          <w:color w:val="666666"/>
          <w:sz w:val="24"/>
          <w:szCs w:val="24"/>
          <w:shd w:val="clear" w:color="auto" w:fill="FFFFFF"/>
        </w:rPr>
        <w:drawing>
          <wp:inline distT="0" distB="0" distL="0" distR="0" wp14:anchorId="6C2A659D" wp14:editId="1CA3876C">
            <wp:extent cx="1905000" cy="447675"/>
            <wp:effectExtent l="0" t="0" r="0" b="9525"/>
            <wp:docPr id="1" name="Picture 1" descr="Sedgwi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dgwick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0" cy="447675"/>
                    </a:xfrm>
                    <a:prstGeom prst="rect">
                      <a:avLst/>
                    </a:prstGeom>
                    <a:noFill/>
                    <a:ln>
                      <a:noFill/>
                    </a:ln>
                  </pic:spPr>
                </pic:pic>
              </a:graphicData>
            </a:graphic>
          </wp:inline>
        </w:drawing>
      </w:r>
    </w:p>
    <w:p w14:paraId="77AF902F" w14:textId="77777777" w:rsidR="00D275F2" w:rsidRPr="00D275F2" w:rsidRDefault="00D275F2" w:rsidP="00D275F2">
      <w:pPr>
        <w:rPr>
          <w:rFonts w:ascii="Century Gothic" w:hAnsi="Century Gothic"/>
          <w:sz w:val="24"/>
          <w:szCs w:val="24"/>
        </w:rPr>
      </w:pPr>
    </w:p>
    <w:p w14:paraId="253B5C2D" w14:textId="77777777" w:rsidR="00D275F2" w:rsidRPr="00D275F2" w:rsidRDefault="00D275F2" w:rsidP="00D275F2">
      <w:pPr>
        <w:rPr>
          <w:sz w:val="24"/>
          <w:szCs w:val="24"/>
        </w:rPr>
      </w:pPr>
    </w:p>
    <w:p w14:paraId="714C02FC" w14:textId="77777777" w:rsidR="00D275F2" w:rsidRPr="00D275F2" w:rsidRDefault="00D275F2" w:rsidP="00D275F2">
      <w:pPr>
        <w:jc w:val="center"/>
        <w:rPr>
          <w:rFonts w:eastAsia="Times New Roman"/>
          <w:sz w:val="24"/>
          <w:szCs w:val="24"/>
        </w:rPr>
      </w:pPr>
      <w:r w:rsidRPr="00D275F2">
        <w:rPr>
          <w:rFonts w:eastAsia="Times New Roman"/>
          <w:sz w:val="24"/>
          <w:szCs w:val="24"/>
        </w:rPr>
        <w:pict w14:anchorId="31893B50">
          <v:rect id="_x0000_i1026" style="width:468pt;height:1.5pt" o:hralign="center" o:hrstd="t" o:hr="t" fillcolor="#a0a0a0" stroked="f"/>
        </w:pict>
      </w:r>
    </w:p>
    <w:p w14:paraId="0C1B792F" w14:textId="77777777" w:rsidR="00D275F2" w:rsidRPr="00D275F2" w:rsidRDefault="00D275F2" w:rsidP="00D275F2">
      <w:pPr>
        <w:rPr>
          <w:rFonts w:eastAsia="Times New Roman"/>
          <w:sz w:val="24"/>
          <w:szCs w:val="24"/>
        </w:rPr>
      </w:pPr>
      <w:r w:rsidRPr="00D275F2">
        <w:rPr>
          <w:rFonts w:eastAsia="Times New Roman"/>
          <w:sz w:val="24"/>
          <w:szCs w:val="24"/>
        </w:rPr>
        <w:t xml:space="preserve">Any personal data acquired, </w:t>
      </w:r>
      <w:proofErr w:type="gramStart"/>
      <w:r w:rsidRPr="00D275F2">
        <w:rPr>
          <w:rFonts w:eastAsia="Times New Roman"/>
          <w:sz w:val="24"/>
          <w:szCs w:val="24"/>
        </w:rPr>
        <w:t>processed</w:t>
      </w:r>
      <w:proofErr w:type="gramEnd"/>
      <w:r w:rsidRPr="00D275F2">
        <w:rPr>
          <w:rFonts w:eastAsia="Times New Roman"/>
          <w:sz w:val="24"/>
          <w:szCs w:val="24"/>
        </w:rPr>
        <w:t xml:space="preserve"> or shared by us will be lawfully processed in line with applicable data protection legislation. If you have any questions regarding how we process personal data refer to our Privacy Notice </w:t>
      </w:r>
      <w:hyperlink r:id="rId11" w:history="1">
        <w:r w:rsidRPr="00D275F2">
          <w:rPr>
            <w:rStyle w:val="Hyperlink"/>
            <w:rFonts w:eastAsia="Times New Roman"/>
            <w:sz w:val="24"/>
            <w:szCs w:val="24"/>
          </w:rPr>
          <w:t>https://www.sedgwick.com/global-privacy-policy</w:t>
        </w:r>
      </w:hyperlink>
      <w:r w:rsidRPr="00D275F2">
        <w:rPr>
          <w:rFonts w:eastAsia="Times New Roman"/>
          <w:sz w:val="24"/>
          <w:szCs w:val="24"/>
        </w:rPr>
        <w:t xml:space="preserve">. Any communication including this email and files/attachments transmitted with it are confidential and are intended solely for the use of the individual or entity to whom they are addressed. If this message has been sent to you in error, you must not copy, </w:t>
      </w:r>
      <w:proofErr w:type="gramStart"/>
      <w:r w:rsidRPr="00D275F2">
        <w:rPr>
          <w:rFonts w:eastAsia="Times New Roman"/>
          <w:sz w:val="24"/>
          <w:szCs w:val="24"/>
        </w:rPr>
        <w:t>distribute</w:t>
      </w:r>
      <w:proofErr w:type="gramEnd"/>
      <w:r w:rsidRPr="00D275F2">
        <w:rPr>
          <w:rFonts w:eastAsia="Times New Roman"/>
          <w:sz w:val="24"/>
          <w:szCs w:val="24"/>
        </w:rPr>
        <w:t xml:space="preserve"> or disclose of the information it contains and you must notify us immediately (contact is within the privacy policy) and delete the message from your system. </w:t>
      </w:r>
    </w:p>
    <w:p w14:paraId="29C88031" w14:textId="77777777" w:rsidR="00750D9A" w:rsidRPr="00D275F2" w:rsidRDefault="00750D9A">
      <w:pPr>
        <w:rPr>
          <w:sz w:val="24"/>
          <w:szCs w:val="24"/>
        </w:rPr>
      </w:pPr>
    </w:p>
    <w:sectPr w:rsidR="00750D9A" w:rsidRPr="00D27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E99"/>
    <w:multiLevelType w:val="multilevel"/>
    <w:tmpl w:val="B95C85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3124CD"/>
    <w:multiLevelType w:val="multilevel"/>
    <w:tmpl w:val="0D6A08E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4164812"/>
    <w:multiLevelType w:val="multilevel"/>
    <w:tmpl w:val="5EA2F6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39D7F4A"/>
    <w:multiLevelType w:val="multilevel"/>
    <w:tmpl w:val="0384499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F2"/>
    <w:rsid w:val="00750D9A"/>
    <w:rsid w:val="00D27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B663"/>
  <w15:chartTrackingRefBased/>
  <w15:docId w15:val="{B52B145F-2809-410E-B7A7-574D1D03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5F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75F2"/>
    <w:rPr>
      <w:color w:val="0563C1"/>
      <w:u w:val="single"/>
    </w:rPr>
  </w:style>
  <w:style w:type="paragraph" w:customStyle="1" w:styleId="xmsolistparagraph">
    <w:name w:val="x_msolistparagraph"/>
    <w:basedOn w:val="Normal"/>
    <w:rsid w:val="00D275F2"/>
    <w:pPr>
      <w:ind w:left="720"/>
    </w:pPr>
  </w:style>
  <w:style w:type="paragraph" w:customStyle="1" w:styleId="xxmsonormal">
    <w:name w:val="x_xmsonormal"/>
    <w:basedOn w:val="Normal"/>
    <w:rsid w:val="00D27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72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us.mimecast.com/s/jvbRCo2WYEUXRqf6S67s?domain=sedgwic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ammy.vitali@sedgwic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tect-us.mimecast.com/s/ItIACmZWwBC53JhO7Xbc?domain=leginfo.legislature.ca.gov" TargetMode="External"/><Relationship Id="rId11" Type="http://schemas.openxmlformats.org/officeDocument/2006/relationships/hyperlink" Target="https://protect-us.mimecast.com/s/5Q7NCpYWgGCzWMsJyXWf?domain=sedgwick.com" TargetMode="External"/><Relationship Id="rId5" Type="http://schemas.openxmlformats.org/officeDocument/2006/relationships/hyperlink" Target="https://protect-us.mimecast.com/s/689FClYWOACo8nTGkeDp?domain=leginfo.legislature.ca.gov" TargetMode="External"/><Relationship Id="rId10" Type="http://schemas.openxmlformats.org/officeDocument/2006/relationships/image" Target="cid:image001.jpg@01D82408.3D111E60"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Lyons</dc:creator>
  <cp:keywords/>
  <dc:description/>
  <cp:lastModifiedBy>Beth Lyons</cp:lastModifiedBy>
  <cp:revision>1</cp:revision>
  <dcterms:created xsi:type="dcterms:W3CDTF">2022-03-13T19:52:00Z</dcterms:created>
  <dcterms:modified xsi:type="dcterms:W3CDTF">2022-03-13T19:54:00Z</dcterms:modified>
</cp:coreProperties>
</file>