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BC30" w14:textId="77777777" w:rsidR="00FE600E" w:rsidRDefault="00FE600E" w:rsidP="00FE600E">
      <w:pPr>
        <w:spacing w:before="120" w:after="240"/>
        <w:ind w:left="360"/>
        <w:jc w:val="both"/>
        <w:rPr>
          <w:rFonts w:asciiTheme="minorHAnsi" w:eastAsia="Times New Roman" w:hAnsiTheme="minorHAnsi" w:cstheme="minorHAnsi"/>
          <w:b/>
        </w:rPr>
      </w:pPr>
    </w:p>
    <w:p w14:paraId="0AAFD490" w14:textId="03017A34" w:rsidR="005413D8" w:rsidRPr="00FE600E" w:rsidRDefault="00670078" w:rsidP="00FE600E">
      <w:pPr>
        <w:pStyle w:val="ListParagraph"/>
        <w:numPr>
          <w:ilvl w:val="0"/>
          <w:numId w:val="19"/>
        </w:numPr>
        <w:spacing w:before="120" w:after="24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The Entity</w:t>
      </w:r>
      <w:r w:rsidR="00BD5765">
        <w:rPr>
          <w:rFonts w:asciiTheme="minorHAnsi" w:eastAsia="Times New Roman" w:hAnsiTheme="minorHAnsi" w:cstheme="minorHAnsi"/>
          <w:b/>
        </w:rPr>
        <w:t>’s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="00BD5765" w:rsidRPr="00BD5765">
        <w:rPr>
          <w:rFonts w:asciiTheme="minorHAnsi" w:eastAsia="Times New Roman" w:hAnsiTheme="minorHAnsi" w:cstheme="minorHAnsi"/>
          <w:b/>
        </w:rPr>
        <w:t>City Council and/or City Engineer signs off on all road site protection plans to preserve governmental immunity.</w:t>
      </w:r>
    </w:p>
    <w:p w14:paraId="167A577B" w14:textId="1DBC85C0" w:rsidR="005413D8" w:rsidRPr="0054784B" w:rsidRDefault="00624ED7" w:rsidP="00A23F71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bookmarkEnd w:id="0"/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bookmarkEnd w:id="1"/>
      <w:r w:rsidRPr="0054784B">
        <w:rPr>
          <w:rFonts w:asciiTheme="minorHAnsi" w:eastAsia="Times New Roman" w:hAnsiTheme="minorHAnsi" w:cstheme="minorHAnsi"/>
        </w:rPr>
        <w:t xml:space="preserve"> No  </w:t>
      </w:r>
      <w:r w:rsidR="00410665" w:rsidRPr="0054784B">
        <w:rPr>
          <w:rFonts w:asciiTheme="minorHAnsi" w:eastAsia="Times New Roman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10665"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="00410665" w:rsidRPr="0054784B">
        <w:rPr>
          <w:rFonts w:asciiTheme="minorHAnsi" w:eastAsia="Times New Roman" w:hAnsiTheme="minorHAnsi" w:cstheme="minorHAnsi"/>
        </w:rPr>
        <w:fldChar w:fldCharType="end"/>
      </w:r>
      <w:r w:rsidR="00410665" w:rsidRPr="0054784B">
        <w:rPr>
          <w:rFonts w:asciiTheme="minorHAnsi" w:eastAsia="Times New Roman" w:hAnsiTheme="minorHAnsi" w:cstheme="minorHAnsi"/>
        </w:rPr>
        <w:t xml:space="preserve"> N/A</w:t>
      </w:r>
    </w:p>
    <w:p w14:paraId="6E7AC1E1" w14:textId="77777777" w:rsidR="00624ED7" w:rsidRPr="0054784B" w:rsidRDefault="00624ED7" w:rsidP="00A23F71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 xml:space="preserve">If </w:t>
      </w:r>
      <w:r w:rsidR="008110BC" w:rsidRPr="0054784B">
        <w:rPr>
          <w:rFonts w:asciiTheme="minorHAnsi" w:eastAsia="Times New Roman" w:hAnsiTheme="minorHAnsi" w:cstheme="minorHAnsi"/>
        </w:rPr>
        <w:t>‘</w:t>
      </w:r>
      <w:r w:rsidRPr="0054784B">
        <w:rPr>
          <w:rFonts w:asciiTheme="minorHAnsi" w:eastAsia="Times New Roman" w:hAnsiTheme="minorHAnsi" w:cstheme="minorHAnsi"/>
        </w:rPr>
        <w:t>No</w:t>
      </w:r>
      <w:r w:rsidR="008110BC" w:rsidRPr="0054784B">
        <w:rPr>
          <w:rFonts w:asciiTheme="minorHAnsi" w:eastAsia="Times New Roman" w:hAnsiTheme="minorHAnsi" w:cstheme="minorHAnsi"/>
        </w:rPr>
        <w:t>’</w:t>
      </w:r>
      <w:r w:rsidRPr="0054784B">
        <w:rPr>
          <w:rFonts w:asciiTheme="minorHAnsi" w:eastAsia="Times New Roman" w:hAnsiTheme="minorHAnsi" w:cstheme="minorHAnsi"/>
        </w:rPr>
        <w:t xml:space="preserve"> was checked: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bookmarkEnd w:id="2"/>
      <w:r w:rsidRPr="0054784B">
        <w:rPr>
          <w:rFonts w:asciiTheme="minorHAnsi" w:eastAsia="Times New Roman" w:hAnsiTheme="minorHAnsi" w:cstheme="minorHAnsi"/>
        </w:rPr>
        <w:t xml:space="preserve"> In Progress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bookmarkEnd w:id="3"/>
      <w:r w:rsidRPr="0054784B">
        <w:rPr>
          <w:rFonts w:asciiTheme="minorHAnsi" w:eastAsia="Times New Roman" w:hAnsiTheme="minorHAnsi" w:cstheme="minorHAnsi"/>
        </w:rPr>
        <w:t xml:space="preserve"> Considered &amp; Declined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bookmarkEnd w:id="4"/>
      <w:r w:rsidRPr="0054784B">
        <w:rPr>
          <w:rFonts w:asciiTheme="minorHAnsi" w:eastAsia="Times New Roman" w:hAnsiTheme="minorHAnsi" w:cstheme="minorHAnsi"/>
        </w:rPr>
        <w:t xml:space="preserve"> Taking Alternative Action</w:t>
      </w:r>
    </w:p>
    <w:p w14:paraId="766CB76A" w14:textId="77777777" w:rsidR="008110BC" w:rsidRPr="0054784B" w:rsidRDefault="008110BC" w:rsidP="00A23F71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 xml:space="preserve">If ‘No’ was checked:  Provide narrative details </w:t>
      </w:r>
      <w:r w:rsidR="00CE1447" w:rsidRPr="0054784B">
        <w:rPr>
          <w:rFonts w:asciiTheme="minorHAnsi" w:eastAsia="Times New Roman" w:hAnsiTheme="minorHAnsi" w:cstheme="minorHAnsi"/>
        </w:rPr>
        <w:t>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B7538" w:rsidRPr="0054784B" w14:paraId="06F09220" w14:textId="77777777" w:rsidTr="00A23F71">
        <w:tc>
          <w:tcPr>
            <w:tcW w:w="8856" w:type="dxa"/>
            <w:shd w:val="clear" w:color="auto" w:fill="EEECE1" w:themeFill="background2"/>
          </w:tcPr>
          <w:p w14:paraId="43C56641" w14:textId="77777777" w:rsidR="00DB7538" w:rsidRPr="0054784B" w:rsidRDefault="00DB7538" w:rsidP="00A23F71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A88263A" w14:textId="307A10DB" w:rsidR="0054784B" w:rsidRDefault="00BD5765" w:rsidP="00BD5765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The Entity’s ordinance and/or Engineer’s job description stipulating authorization to approve plans </w:t>
      </w:r>
      <w:r w:rsidR="0061184A">
        <w:rPr>
          <w:rFonts w:asciiTheme="minorHAnsi" w:eastAsia="Times New Roman" w:hAnsiTheme="minorHAnsi" w:cstheme="minorHAnsi"/>
        </w:rPr>
        <w:t>is</w:t>
      </w:r>
      <w:r>
        <w:rPr>
          <w:rFonts w:asciiTheme="minorHAnsi" w:eastAsia="Times New Roman" w:hAnsiTheme="minorHAnsi" w:cstheme="minorHAnsi"/>
        </w:rPr>
        <w:t xml:space="preserve"> </w:t>
      </w:r>
      <w:r w:rsidR="00410665" w:rsidRPr="0054784B">
        <w:rPr>
          <w:rFonts w:asciiTheme="minorHAnsi" w:eastAsia="Times New Roman" w:hAnsiTheme="minorHAnsi" w:cstheme="minorHAnsi"/>
        </w:rPr>
        <w:t>available for review</w:t>
      </w:r>
      <w:r w:rsidR="0061184A">
        <w:rPr>
          <w:rFonts w:asciiTheme="minorHAnsi" w:eastAsia="Times New Roman" w:hAnsiTheme="minorHAnsi" w:cstheme="minorHAnsi"/>
        </w:rPr>
        <w:t>.</w:t>
      </w:r>
      <w:r w:rsidR="008110BC" w:rsidRPr="0054784B">
        <w:rPr>
          <w:rFonts w:asciiTheme="minorHAnsi" w:eastAsia="Times New Roman" w:hAnsiTheme="minorHAnsi" w:cstheme="minorHAnsi"/>
        </w:rPr>
        <w:t xml:space="preserve"> </w:t>
      </w:r>
    </w:p>
    <w:p w14:paraId="5622862D" w14:textId="3C01B6E2" w:rsidR="008110BC" w:rsidRDefault="00410665" w:rsidP="00410665">
      <w:pPr>
        <w:spacing w:before="120" w:after="240"/>
        <w:ind w:left="720" w:hanging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ab/>
      </w:r>
      <w:r w:rsidR="008110BC" w:rsidRPr="0054784B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110BC"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="008110BC" w:rsidRPr="0054784B">
        <w:rPr>
          <w:rFonts w:asciiTheme="minorHAnsi" w:eastAsia="Times New Roman" w:hAnsiTheme="minorHAnsi" w:cstheme="minorHAnsi"/>
        </w:rPr>
        <w:fldChar w:fldCharType="end"/>
      </w:r>
      <w:r w:rsidR="008110BC" w:rsidRPr="0054784B">
        <w:rPr>
          <w:rFonts w:asciiTheme="minorHAnsi" w:eastAsia="Times New Roman" w:hAnsiTheme="minorHAnsi" w:cstheme="minorHAnsi"/>
        </w:rPr>
        <w:t xml:space="preserve"> Yes  </w:t>
      </w:r>
      <w:r w:rsidR="008110BC"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110BC"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="008110BC" w:rsidRPr="0054784B">
        <w:rPr>
          <w:rFonts w:asciiTheme="minorHAnsi" w:eastAsia="Times New Roman" w:hAnsiTheme="minorHAnsi" w:cstheme="minorHAnsi"/>
        </w:rPr>
        <w:fldChar w:fldCharType="end"/>
      </w:r>
      <w:r w:rsidR="008110BC" w:rsidRPr="0054784B">
        <w:rPr>
          <w:rFonts w:asciiTheme="minorHAnsi" w:eastAsia="Times New Roman" w:hAnsiTheme="minorHAnsi" w:cstheme="minorHAnsi"/>
        </w:rPr>
        <w:t xml:space="preserve"> No  </w:t>
      </w:r>
    </w:p>
    <w:p w14:paraId="28D1CD67" w14:textId="77777777" w:rsidR="00FE600E" w:rsidRDefault="00FE600E" w:rsidP="00FE600E">
      <w:pPr>
        <w:spacing w:before="120" w:after="0"/>
        <w:ind w:left="720" w:hanging="360"/>
        <w:jc w:val="both"/>
        <w:rPr>
          <w:rFonts w:asciiTheme="minorHAnsi" w:eastAsia="Times New Roman" w:hAnsiTheme="minorHAnsi" w:cstheme="minorHAnsi"/>
        </w:rPr>
      </w:pPr>
    </w:p>
    <w:p w14:paraId="65FE9B16" w14:textId="502E2E05" w:rsidR="005502F0" w:rsidRPr="0054784B" w:rsidRDefault="0061184A" w:rsidP="0061184A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The Entity has </w:t>
      </w:r>
      <w:r w:rsidR="00BD5765" w:rsidRPr="00BD5765">
        <w:rPr>
          <w:rFonts w:asciiTheme="minorHAnsi" w:eastAsia="Times New Roman" w:hAnsiTheme="minorHAnsi" w:cstheme="minorHAnsi"/>
          <w:b/>
        </w:rPr>
        <w:t>on staff</w:t>
      </w:r>
      <w:r w:rsidR="00BD5765">
        <w:rPr>
          <w:rFonts w:asciiTheme="minorHAnsi" w:eastAsia="Times New Roman" w:hAnsiTheme="minorHAnsi" w:cstheme="minorHAnsi"/>
          <w:b/>
        </w:rPr>
        <w:t>,</w:t>
      </w:r>
      <w:r w:rsidR="00BD5765" w:rsidRPr="00BD5765">
        <w:rPr>
          <w:rFonts w:asciiTheme="minorHAnsi" w:eastAsia="Times New Roman" w:hAnsiTheme="minorHAnsi" w:cstheme="minorHAnsi"/>
          <w:b/>
        </w:rPr>
        <w:t xml:space="preserve"> or </w:t>
      </w:r>
      <w:r w:rsidR="00BD5765">
        <w:rPr>
          <w:rFonts w:asciiTheme="minorHAnsi" w:eastAsia="Times New Roman" w:hAnsiTheme="minorHAnsi" w:cstheme="minorHAnsi"/>
          <w:b/>
        </w:rPr>
        <w:t xml:space="preserve">has </w:t>
      </w:r>
      <w:r w:rsidR="00BD5765" w:rsidRPr="00BD5765">
        <w:rPr>
          <w:rFonts w:asciiTheme="minorHAnsi" w:eastAsia="Times New Roman" w:hAnsiTheme="minorHAnsi" w:cstheme="minorHAnsi"/>
          <w:b/>
        </w:rPr>
        <w:t>access to</w:t>
      </w:r>
      <w:r w:rsidR="00BD5765">
        <w:rPr>
          <w:rFonts w:asciiTheme="minorHAnsi" w:eastAsia="Times New Roman" w:hAnsiTheme="minorHAnsi" w:cstheme="minorHAnsi"/>
          <w:b/>
        </w:rPr>
        <w:t>,</w:t>
      </w:r>
      <w:r w:rsidR="00BD5765" w:rsidRPr="00BD5765">
        <w:rPr>
          <w:rFonts w:asciiTheme="minorHAnsi" w:eastAsia="Times New Roman" w:hAnsiTheme="minorHAnsi" w:cstheme="minorHAnsi"/>
          <w:b/>
        </w:rPr>
        <w:t xml:space="preserve"> a Caltrans-trained work zone safety specialist to oversee and approve all work zones.</w:t>
      </w:r>
      <w:r>
        <w:rPr>
          <w:rFonts w:asciiTheme="minorHAnsi" w:eastAsia="Times New Roman" w:hAnsiTheme="minorHAnsi" w:cstheme="minorHAnsi"/>
          <w:b/>
        </w:rPr>
        <w:t xml:space="preserve"> </w:t>
      </w:r>
    </w:p>
    <w:p w14:paraId="75D6428D" w14:textId="21E0AB3E" w:rsidR="005413D8" w:rsidRPr="0054784B" w:rsidRDefault="00CE1447" w:rsidP="00410665">
      <w:pPr>
        <w:spacing w:before="120" w:after="240"/>
        <w:ind w:firstLine="72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No  </w:t>
      </w:r>
    </w:p>
    <w:p w14:paraId="37C40133" w14:textId="77777777" w:rsidR="00CE1447" w:rsidRPr="0054784B" w:rsidRDefault="00CE1447" w:rsidP="00A23F71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 xml:space="preserve">If ‘No’ was checked: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In Progress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Considered &amp; Declined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Taking Alternative Action</w:t>
      </w:r>
    </w:p>
    <w:p w14:paraId="756EE39B" w14:textId="77777777" w:rsidR="00CE1447" w:rsidRPr="0054784B" w:rsidRDefault="00CE1447" w:rsidP="00A23F71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>If ‘No’ was checked: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B7538" w:rsidRPr="0054784B" w14:paraId="4536AFA7" w14:textId="77777777" w:rsidTr="00A23F71">
        <w:tc>
          <w:tcPr>
            <w:tcW w:w="8856" w:type="dxa"/>
            <w:shd w:val="clear" w:color="auto" w:fill="EEECE1" w:themeFill="background2"/>
          </w:tcPr>
          <w:p w14:paraId="3A1EA898" w14:textId="77777777" w:rsidR="00DB7538" w:rsidRPr="0054784B" w:rsidRDefault="00DB7538" w:rsidP="00A23F71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3F8D76A" w14:textId="2ECE05DC" w:rsidR="00FE600E" w:rsidRDefault="00FE600E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br w:type="page"/>
      </w:r>
    </w:p>
    <w:p w14:paraId="02CA1496" w14:textId="3B9C623C" w:rsidR="00530893" w:rsidRPr="0054784B" w:rsidRDefault="00530893" w:rsidP="0053089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lastRenderedPageBreak/>
        <w:t xml:space="preserve">The Entity </w:t>
      </w:r>
      <w:r w:rsidR="00BD5765">
        <w:rPr>
          <w:rFonts w:asciiTheme="minorHAnsi" w:eastAsia="Times New Roman" w:hAnsiTheme="minorHAnsi" w:cstheme="minorHAnsi"/>
          <w:b/>
        </w:rPr>
        <w:t>takes photographs of worksites to document work zone protection</w:t>
      </w:r>
      <w:r>
        <w:rPr>
          <w:rFonts w:asciiTheme="minorHAnsi" w:eastAsia="Times New Roman" w:hAnsiTheme="minorHAnsi" w:cstheme="minorHAnsi"/>
          <w:b/>
        </w:rPr>
        <w:t>.</w:t>
      </w:r>
    </w:p>
    <w:p w14:paraId="1D846F6C" w14:textId="77777777" w:rsidR="00530893" w:rsidRPr="0054784B" w:rsidRDefault="00530893" w:rsidP="00530893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No  </w:t>
      </w:r>
    </w:p>
    <w:p w14:paraId="7CB34D29" w14:textId="77777777" w:rsidR="00530893" w:rsidRPr="0054784B" w:rsidRDefault="00530893" w:rsidP="00530893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 xml:space="preserve">If ‘No’ was checked: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In Progress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Considered &amp; Declined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Taking Alternative Action</w:t>
      </w:r>
    </w:p>
    <w:p w14:paraId="05A42751" w14:textId="77777777" w:rsidR="00530893" w:rsidRPr="0054784B" w:rsidRDefault="00530893" w:rsidP="00530893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>If ‘No’ was checked: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30893" w:rsidRPr="0054784B" w14:paraId="5B6A43CB" w14:textId="77777777" w:rsidTr="002F3EB8">
        <w:tc>
          <w:tcPr>
            <w:tcW w:w="8856" w:type="dxa"/>
            <w:shd w:val="clear" w:color="auto" w:fill="EEECE1" w:themeFill="background2"/>
          </w:tcPr>
          <w:p w14:paraId="05850700" w14:textId="77777777" w:rsidR="00530893" w:rsidRPr="0054784B" w:rsidRDefault="00530893" w:rsidP="002F3EB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6B7B6D0" w14:textId="44E883D1" w:rsidR="00530893" w:rsidRPr="0054784B" w:rsidRDefault="00BD5765" w:rsidP="00530893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Examples of work zone photo-documentation are</w:t>
      </w:r>
      <w:r w:rsidR="00530893">
        <w:rPr>
          <w:rFonts w:asciiTheme="minorHAnsi" w:eastAsia="Times New Roman" w:hAnsiTheme="minorHAnsi" w:cstheme="minorHAnsi"/>
        </w:rPr>
        <w:t xml:space="preserve"> </w:t>
      </w:r>
      <w:r w:rsidR="00530893" w:rsidRPr="0054784B">
        <w:rPr>
          <w:rFonts w:asciiTheme="minorHAnsi" w:eastAsia="Times New Roman" w:hAnsiTheme="minorHAnsi" w:cstheme="minorHAnsi"/>
        </w:rPr>
        <w:t>available for review</w:t>
      </w:r>
      <w:r w:rsidR="00530893">
        <w:rPr>
          <w:rFonts w:asciiTheme="minorHAnsi" w:eastAsia="Times New Roman" w:hAnsiTheme="minorHAnsi" w:cstheme="minorHAnsi"/>
        </w:rPr>
        <w:t>.</w:t>
      </w:r>
    </w:p>
    <w:p w14:paraId="20ED0AE7" w14:textId="0209910E" w:rsidR="00530893" w:rsidRDefault="00530893" w:rsidP="00530893">
      <w:pPr>
        <w:spacing w:before="120" w:after="240"/>
        <w:ind w:left="360" w:firstLine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No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N/A</w:t>
      </w:r>
    </w:p>
    <w:p w14:paraId="440E8507" w14:textId="77777777" w:rsidR="001535F6" w:rsidRDefault="001535F6" w:rsidP="00530893">
      <w:pPr>
        <w:spacing w:before="120" w:after="240"/>
        <w:ind w:left="360" w:firstLine="360"/>
        <w:jc w:val="both"/>
        <w:rPr>
          <w:rFonts w:asciiTheme="minorHAnsi" w:eastAsia="Times New Roman" w:hAnsiTheme="minorHAnsi" w:cstheme="minorHAnsi"/>
        </w:rPr>
      </w:pPr>
    </w:p>
    <w:p w14:paraId="72B1AA66" w14:textId="508A9628" w:rsidR="001535F6" w:rsidRPr="0054784B" w:rsidRDefault="001535F6" w:rsidP="001535F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The Entity </w:t>
      </w:r>
      <w:r w:rsidR="00BD5765">
        <w:rPr>
          <w:rFonts w:asciiTheme="minorHAnsi" w:eastAsia="Times New Roman" w:hAnsiTheme="minorHAnsi" w:cstheme="minorHAnsi"/>
          <w:b/>
        </w:rPr>
        <w:t>includes language in its contracts that transfers the responsibility for clean-up, debris removal and hazardous materials removal from worksites to the contractor</w:t>
      </w:r>
      <w:r>
        <w:rPr>
          <w:rFonts w:asciiTheme="minorHAnsi" w:eastAsia="Times New Roman" w:hAnsiTheme="minorHAnsi" w:cstheme="minorHAnsi"/>
          <w:b/>
        </w:rPr>
        <w:t xml:space="preserve">.  </w:t>
      </w:r>
    </w:p>
    <w:p w14:paraId="24E30EEE" w14:textId="77777777" w:rsidR="001535F6" w:rsidRPr="0054784B" w:rsidRDefault="001535F6" w:rsidP="001535F6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No  </w:t>
      </w:r>
    </w:p>
    <w:p w14:paraId="35C08E50" w14:textId="77777777" w:rsidR="001535F6" w:rsidRPr="0054784B" w:rsidRDefault="001535F6" w:rsidP="001535F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 xml:space="preserve">If ‘No’ was checked: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In Progress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Considered &amp; Declined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Taking Alternative Action</w:t>
      </w:r>
    </w:p>
    <w:p w14:paraId="37206256" w14:textId="77777777" w:rsidR="001535F6" w:rsidRPr="0054784B" w:rsidRDefault="001535F6" w:rsidP="001535F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>If ‘No’ was checked: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535F6" w:rsidRPr="0054784B" w14:paraId="154146AA" w14:textId="77777777" w:rsidTr="002F3EB8">
        <w:tc>
          <w:tcPr>
            <w:tcW w:w="8856" w:type="dxa"/>
            <w:shd w:val="clear" w:color="auto" w:fill="EEECE1" w:themeFill="background2"/>
          </w:tcPr>
          <w:p w14:paraId="70695DD2" w14:textId="77777777" w:rsidR="001535F6" w:rsidRPr="0054784B" w:rsidRDefault="001535F6" w:rsidP="002F3EB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440A787" w14:textId="03AA7ABD" w:rsidR="001535F6" w:rsidRPr="0054784B" w:rsidRDefault="00BD5765" w:rsidP="001535F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Contract language is</w:t>
      </w:r>
      <w:r w:rsidR="001535F6">
        <w:rPr>
          <w:rFonts w:asciiTheme="minorHAnsi" w:eastAsia="Times New Roman" w:hAnsiTheme="minorHAnsi" w:cstheme="minorHAnsi"/>
        </w:rPr>
        <w:t xml:space="preserve"> </w:t>
      </w:r>
      <w:r w:rsidR="001535F6" w:rsidRPr="0054784B">
        <w:rPr>
          <w:rFonts w:asciiTheme="minorHAnsi" w:eastAsia="Times New Roman" w:hAnsiTheme="minorHAnsi" w:cstheme="minorHAnsi"/>
        </w:rPr>
        <w:t>available for review</w:t>
      </w:r>
      <w:r w:rsidR="001535F6">
        <w:rPr>
          <w:rFonts w:asciiTheme="minorHAnsi" w:eastAsia="Times New Roman" w:hAnsiTheme="minorHAnsi" w:cstheme="minorHAnsi"/>
        </w:rPr>
        <w:t>.</w:t>
      </w:r>
    </w:p>
    <w:p w14:paraId="3F678942" w14:textId="6AEED690" w:rsidR="001535F6" w:rsidRDefault="001535F6" w:rsidP="001535F6">
      <w:pPr>
        <w:spacing w:before="120" w:after="240"/>
        <w:ind w:left="360" w:firstLine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No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N/A</w:t>
      </w:r>
    </w:p>
    <w:p w14:paraId="67AA4BD8" w14:textId="77777777" w:rsidR="001535F6" w:rsidRDefault="001535F6" w:rsidP="001535F6">
      <w:pPr>
        <w:spacing w:before="120" w:after="240"/>
        <w:ind w:left="360" w:firstLine="360"/>
        <w:jc w:val="both"/>
        <w:rPr>
          <w:rFonts w:asciiTheme="minorHAnsi" w:eastAsia="Times New Roman" w:hAnsiTheme="minorHAnsi" w:cstheme="minorHAnsi"/>
        </w:rPr>
      </w:pPr>
    </w:p>
    <w:p w14:paraId="36EB289D" w14:textId="55938CB2" w:rsidR="001535F6" w:rsidRPr="0054784B" w:rsidRDefault="001535F6" w:rsidP="001535F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The Entity </w:t>
      </w:r>
      <w:r w:rsidR="00BD5765">
        <w:rPr>
          <w:rFonts w:asciiTheme="minorHAnsi" w:eastAsia="Times New Roman" w:hAnsiTheme="minorHAnsi" w:cstheme="minorHAnsi"/>
          <w:b/>
        </w:rPr>
        <w:t>has adopted a minimum Pavement Condition Index to serve as the standard to which road surfacing is to be maintained. Example: PCI=70</w:t>
      </w:r>
      <w:r>
        <w:rPr>
          <w:rFonts w:asciiTheme="minorHAnsi" w:eastAsia="Times New Roman" w:hAnsiTheme="minorHAnsi" w:cstheme="minorHAnsi"/>
          <w:b/>
        </w:rPr>
        <w:t xml:space="preserve">.  </w:t>
      </w:r>
    </w:p>
    <w:p w14:paraId="7681DF6E" w14:textId="77777777" w:rsidR="001535F6" w:rsidRPr="0054784B" w:rsidRDefault="001535F6" w:rsidP="001535F6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No  </w:t>
      </w:r>
    </w:p>
    <w:p w14:paraId="6F657B57" w14:textId="77777777" w:rsidR="001535F6" w:rsidRPr="0054784B" w:rsidRDefault="001535F6" w:rsidP="001535F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 xml:space="preserve">If ‘No’ was checked: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In Progress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Considered &amp; Declined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Taking Alternative Action</w:t>
      </w:r>
    </w:p>
    <w:p w14:paraId="2339A687" w14:textId="77777777" w:rsidR="001535F6" w:rsidRPr="0054784B" w:rsidRDefault="001535F6" w:rsidP="001535F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>If ‘No’ was checked: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535F6" w:rsidRPr="0054784B" w14:paraId="6DEE6CF3" w14:textId="77777777" w:rsidTr="002F3EB8">
        <w:tc>
          <w:tcPr>
            <w:tcW w:w="8856" w:type="dxa"/>
            <w:shd w:val="clear" w:color="auto" w:fill="EEECE1" w:themeFill="background2"/>
          </w:tcPr>
          <w:p w14:paraId="75B64E80" w14:textId="77777777" w:rsidR="001535F6" w:rsidRPr="0054784B" w:rsidRDefault="001535F6" w:rsidP="002F3EB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ED68835" w14:textId="4C8210F0" w:rsidR="001535F6" w:rsidRPr="0054784B" w:rsidRDefault="009C0C61" w:rsidP="001535F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A copy of the Pavement Condition Index is </w:t>
      </w:r>
      <w:r w:rsidR="001535F6">
        <w:rPr>
          <w:rFonts w:asciiTheme="minorHAnsi" w:eastAsia="Times New Roman" w:hAnsiTheme="minorHAnsi" w:cstheme="minorHAnsi"/>
        </w:rPr>
        <w:t xml:space="preserve"> </w:t>
      </w:r>
      <w:r w:rsidR="001535F6" w:rsidRPr="0054784B">
        <w:rPr>
          <w:rFonts w:asciiTheme="minorHAnsi" w:eastAsia="Times New Roman" w:hAnsiTheme="minorHAnsi" w:cstheme="minorHAnsi"/>
        </w:rPr>
        <w:t>available for review</w:t>
      </w:r>
      <w:r w:rsidR="001535F6">
        <w:rPr>
          <w:rFonts w:asciiTheme="minorHAnsi" w:eastAsia="Times New Roman" w:hAnsiTheme="minorHAnsi" w:cstheme="minorHAnsi"/>
        </w:rPr>
        <w:t>.</w:t>
      </w:r>
    </w:p>
    <w:p w14:paraId="373442AE" w14:textId="77777777" w:rsidR="001535F6" w:rsidRDefault="001535F6" w:rsidP="001535F6">
      <w:pPr>
        <w:spacing w:before="120" w:after="240"/>
        <w:ind w:left="360" w:firstLine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No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N/A</w:t>
      </w:r>
    </w:p>
    <w:p w14:paraId="2C16D3DA" w14:textId="77777777" w:rsidR="00530893" w:rsidRPr="00530893" w:rsidRDefault="00530893" w:rsidP="00530893">
      <w:pPr>
        <w:rPr>
          <w:rFonts w:asciiTheme="minorHAnsi" w:hAnsiTheme="minorHAnsi" w:cstheme="minorHAnsi"/>
          <w:b/>
        </w:rPr>
      </w:pPr>
    </w:p>
    <w:p w14:paraId="633B27AC" w14:textId="01219022" w:rsidR="005502F0" w:rsidRPr="0054784B" w:rsidRDefault="0061184A" w:rsidP="0061184A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The Entity has </w:t>
      </w:r>
      <w:r w:rsidR="009C0C61">
        <w:rPr>
          <w:rFonts w:asciiTheme="minorHAnsi" w:eastAsia="Times New Roman" w:hAnsiTheme="minorHAnsi" w:cstheme="minorHAnsi"/>
          <w:b/>
        </w:rPr>
        <w:t>conducts documented inspections to ensure drains and culverts are clear of debris</w:t>
      </w:r>
      <w:r w:rsidR="001D2D29">
        <w:rPr>
          <w:rFonts w:asciiTheme="minorHAnsi" w:eastAsia="Times New Roman" w:hAnsiTheme="minorHAnsi" w:cstheme="minorHAnsi"/>
          <w:b/>
        </w:rPr>
        <w:t xml:space="preserve"> to reduce the probability of road flooding.</w:t>
      </w:r>
    </w:p>
    <w:p w14:paraId="11EAD2BD" w14:textId="6EB7DE22" w:rsidR="00C83BC2" w:rsidRPr="0054784B" w:rsidRDefault="00CE1447" w:rsidP="0054784B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No  </w:t>
      </w:r>
    </w:p>
    <w:p w14:paraId="78A3656A" w14:textId="77777777" w:rsidR="00CE1447" w:rsidRPr="0054784B" w:rsidRDefault="00CE1447" w:rsidP="00A23F71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 xml:space="preserve">If ‘No’ was checked: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In Progress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Considered &amp; Declined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Taking Alternative Action</w:t>
      </w:r>
    </w:p>
    <w:p w14:paraId="2F767BA9" w14:textId="77777777" w:rsidR="00CE1447" w:rsidRPr="0054784B" w:rsidRDefault="00CE1447" w:rsidP="00A23F71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>If ‘No’ was checked: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B7538" w:rsidRPr="0054784B" w14:paraId="2180DD9D" w14:textId="77777777" w:rsidTr="00A23F71">
        <w:tc>
          <w:tcPr>
            <w:tcW w:w="8856" w:type="dxa"/>
            <w:shd w:val="clear" w:color="auto" w:fill="EEECE1" w:themeFill="background2"/>
          </w:tcPr>
          <w:p w14:paraId="6F72C873" w14:textId="77777777" w:rsidR="00DB7538" w:rsidRPr="0054784B" w:rsidRDefault="00DB7538" w:rsidP="00A23F71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06E6747" w14:textId="41457374" w:rsidR="0054784B" w:rsidRPr="0054784B" w:rsidRDefault="0061184A" w:rsidP="00A23F71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Sample documentation </w:t>
      </w:r>
      <w:r w:rsidR="009C0C61">
        <w:rPr>
          <w:rFonts w:asciiTheme="minorHAnsi" w:eastAsia="Times New Roman" w:hAnsiTheme="minorHAnsi" w:cstheme="minorHAnsi"/>
        </w:rPr>
        <w:t>of inspections</w:t>
      </w:r>
      <w:r>
        <w:rPr>
          <w:rFonts w:asciiTheme="minorHAnsi" w:eastAsia="Times New Roman" w:hAnsiTheme="minorHAnsi" w:cstheme="minorHAnsi"/>
        </w:rPr>
        <w:t xml:space="preserve"> is </w:t>
      </w:r>
      <w:r w:rsidR="00410665" w:rsidRPr="0054784B">
        <w:rPr>
          <w:rFonts w:asciiTheme="minorHAnsi" w:eastAsia="Times New Roman" w:hAnsiTheme="minorHAnsi" w:cstheme="minorHAnsi"/>
        </w:rPr>
        <w:t>available for review</w:t>
      </w:r>
      <w:r>
        <w:rPr>
          <w:rFonts w:asciiTheme="minorHAnsi" w:eastAsia="Times New Roman" w:hAnsiTheme="minorHAnsi" w:cstheme="minorHAnsi"/>
        </w:rPr>
        <w:t>.</w:t>
      </w:r>
    </w:p>
    <w:p w14:paraId="67C290FF" w14:textId="23869564" w:rsidR="00CE1447" w:rsidRDefault="00300CCA" w:rsidP="0054784B">
      <w:pPr>
        <w:spacing w:before="120" w:after="240"/>
        <w:ind w:left="360" w:firstLine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No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N/A</w:t>
      </w:r>
    </w:p>
    <w:p w14:paraId="7D1DDE23" w14:textId="77777777" w:rsidR="00FE600E" w:rsidRPr="0054784B" w:rsidRDefault="00FE600E" w:rsidP="00FE600E">
      <w:pPr>
        <w:spacing w:before="120" w:after="0"/>
        <w:ind w:left="360" w:firstLine="360"/>
        <w:jc w:val="both"/>
        <w:rPr>
          <w:rFonts w:asciiTheme="minorHAnsi" w:eastAsia="Times New Roman" w:hAnsiTheme="minorHAnsi" w:cstheme="minorHAnsi"/>
        </w:rPr>
      </w:pPr>
    </w:p>
    <w:p w14:paraId="6B92DB18" w14:textId="77777777" w:rsidR="0054784B" w:rsidRPr="0054784B" w:rsidRDefault="0054784B" w:rsidP="00FE600E">
      <w:pPr>
        <w:spacing w:before="120" w:after="0"/>
        <w:ind w:left="720"/>
        <w:jc w:val="both"/>
        <w:rPr>
          <w:rFonts w:asciiTheme="minorHAnsi" w:eastAsia="Times New Roman" w:hAnsiTheme="minorHAnsi" w:cstheme="minorHAnsi"/>
        </w:rPr>
      </w:pPr>
    </w:p>
    <w:p w14:paraId="100269D3" w14:textId="71756DBD" w:rsidR="00410665" w:rsidRPr="0054784B" w:rsidRDefault="0061184A" w:rsidP="0061184A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The Entity has </w:t>
      </w:r>
      <w:r w:rsidR="001D2D29">
        <w:rPr>
          <w:rFonts w:asciiTheme="minorHAnsi" w:eastAsia="Times New Roman" w:hAnsiTheme="minorHAnsi" w:cstheme="minorHAnsi"/>
          <w:b/>
        </w:rPr>
        <w:t xml:space="preserve">on staff or contracts with a Traffic Engineer responsible for the design, monitoring, and maintenance the Entity’s traffic </w:t>
      </w:r>
      <w:r w:rsidR="0077145D">
        <w:rPr>
          <w:rFonts w:asciiTheme="minorHAnsi" w:eastAsia="Times New Roman" w:hAnsiTheme="minorHAnsi" w:cstheme="minorHAnsi"/>
          <w:b/>
        </w:rPr>
        <w:t xml:space="preserve">control to ensure the traffic signals are appropriate and that the lighted </w:t>
      </w:r>
      <w:r w:rsidR="001D2D29">
        <w:rPr>
          <w:rFonts w:asciiTheme="minorHAnsi" w:eastAsia="Times New Roman" w:hAnsiTheme="minorHAnsi" w:cstheme="minorHAnsi"/>
          <w:b/>
        </w:rPr>
        <w:t>signals</w:t>
      </w:r>
      <w:r w:rsidR="0077145D">
        <w:rPr>
          <w:rFonts w:asciiTheme="minorHAnsi" w:eastAsia="Times New Roman" w:hAnsiTheme="minorHAnsi" w:cstheme="minorHAnsi"/>
          <w:b/>
        </w:rPr>
        <w:t xml:space="preserve"> are</w:t>
      </w:r>
      <w:r w:rsidR="001D2D29">
        <w:rPr>
          <w:rFonts w:asciiTheme="minorHAnsi" w:eastAsia="Times New Roman" w:hAnsiTheme="minorHAnsi" w:cstheme="minorHAnsi"/>
          <w:b/>
        </w:rPr>
        <w:t xml:space="preserve"> in good working order (</w:t>
      </w:r>
      <w:proofErr w:type="gramStart"/>
      <w:r w:rsidR="001D2D29">
        <w:rPr>
          <w:rFonts w:asciiTheme="minorHAnsi" w:eastAsia="Times New Roman" w:hAnsiTheme="minorHAnsi" w:cstheme="minorHAnsi"/>
          <w:b/>
        </w:rPr>
        <w:t>i.e.</w:t>
      </w:r>
      <w:proofErr w:type="gramEnd"/>
      <w:r w:rsidR="001D2D29">
        <w:rPr>
          <w:rFonts w:asciiTheme="minorHAnsi" w:eastAsia="Times New Roman" w:hAnsiTheme="minorHAnsi" w:cstheme="minorHAnsi"/>
          <w:b/>
        </w:rPr>
        <w:t xml:space="preserve"> no burned out or flickering lights, sequencing intervals appropriate to traffic volume, etc</w:t>
      </w:r>
      <w:r>
        <w:rPr>
          <w:rFonts w:asciiTheme="minorHAnsi" w:eastAsia="Times New Roman" w:hAnsiTheme="minorHAnsi" w:cstheme="minorHAnsi"/>
          <w:b/>
        </w:rPr>
        <w:t>.</w:t>
      </w:r>
      <w:r w:rsidR="0077145D">
        <w:rPr>
          <w:rFonts w:asciiTheme="minorHAnsi" w:eastAsia="Times New Roman" w:hAnsiTheme="minorHAnsi" w:cstheme="minorHAnsi"/>
          <w:b/>
        </w:rPr>
        <w:t>)</w:t>
      </w:r>
    </w:p>
    <w:p w14:paraId="592329AC" w14:textId="4CE14ED8" w:rsidR="006B036A" w:rsidRPr="0054784B" w:rsidRDefault="0011032F" w:rsidP="00A23F71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No  </w:t>
      </w:r>
    </w:p>
    <w:p w14:paraId="35028B65" w14:textId="77777777" w:rsidR="00D0434A" w:rsidRPr="0054784B" w:rsidRDefault="00D0434A" w:rsidP="00A23F71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 xml:space="preserve">If ‘No’ was checked: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In Progress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Considered &amp; Declined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Taking Alternative Action</w:t>
      </w:r>
    </w:p>
    <w:p w14:paraId="3DAA73D0" w14:textId="77777777" w:rsidR="0011032F" w:rsidRPr="0054784B" w:rsidRDefault="006B036A" w:rsidP="00A23F71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>If not considered or was rejected</w:t>
      </w:r>
      <w:r w:rsidR="0011032F" w:rsidRPr="0054784B">
        <w:rPr>
          <w:rFonts w:asciiTheme="minorHAnsi" w:eastAsia="Times New Roman" w:hAnsiTheme="minorHAnsi" w:cstheme="minorHAnsi"/>
        </w:rPr>
        <w:t>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B7538" w:rsidRPr="0054784B" w14:paraId="120657EB" w14:textId="77777777" w:rsidTr="00A23F71">
        <w:tc>
          <w:tcPr>
            <w:tcW w:w="8856" w:type="dxa"/>
            <w:shd w:val="clear" w:color="auto" w:fill="EEECE1" w:themeFill="background2"/>
          </w:tcPr>
          <w:p w14:paraId="4F29CF66" w14:textId="77777777" w:rsidR="00DB7538" w:rsidRPr="0054784B" w:rsidRDefault="00DB7538" w:rsidP="00A23F71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3E5FFC1" w14:textId="725708E9" w:rsidR="001535F6" w:rsidRDefault="0077145D" w:rsidP="0061184A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The Traffic Engineer’s job description is available for review.</w:t>
      </w:r>
    </w:p>
    <w:p w14:paraId="3C22AD6B" w14:textId="77777777" w:rsidR="0077145D" w:rsidRPr="0054784B" w:rsidRDefault="0077145D" w:rsidP="0077145D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No  </w:t>
      </w:r>
    </w:p>
    <w:p w14:paraId="36B5B0F4" w14:textId="7352602C" w:rsidR="001535F6" w:rsidRDefault="001535F6" w:rsidP="0061184A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</w:p>
    <w:p w14:paraId="3A406887" w14:textId="77777777" w:rsidR="001535F6" w:rsidRPr="0054784B" w:rsidRDefault="001535F6" w:rsidP="0061184A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</w:p>
    <w:p w14:paraId="1080FBBD" w14:textId="4AE298B3" w:rsidR="001535F6" w:rsidRPr="0054784B" w:rsidRDefault="001535F6" w:rsidP="001535F6">
      <w:pPr>
        <w:pStyle w:val="ListParagraph"/>
        <w:numPr>
          <w:ilvl w:val="0"/>
          <w:numId w:val="19"/>
        </w:numPr>
        <w:spacing w:before="120" w:after="240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The </w:t>
      </w:r>
      <w:r w:rsidR="0077145D">
        <w:rPr>
          <w:rFonts w:asciiTheme="minorHAnsi" w:hAnsiTheme="minorHAnsi" w:cstheme="minorHAnsi"/>
          <w:b/>
          <w:bCs/>
        </w:rPr>
        <w:t xml:space="preserve">pavement markings of the roads/streets within the authority of the Entity are visible day and night lighting conditions. </w:t>
      </w:r>
    </w:p>
    <w:p w14:paraId="3F463702" w14:textId="77777777" w:rsidR="001535F6" w:rsidRPr="0054784B" w:rsidRDefault="001535F6" w:rsidP="001535F6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No  </w:t>
      </w:r>
    </w:p>
    <w:p w14:paraId="03B92E28" w14:textId="77777777" w:rsidR="001535F6" w:rsidRPr="0054784B" w:rsidRDefault="001535F6" w:rsidP="001535F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 xml:space="preserve">If ‘No’ was checked: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In Progress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Considered &amp; Declined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Taking Alternative Action</w:t>
      </w:r>
    </w:p>
    <w:p w14:paraId="722C739E" w14:textId="77777777" w:rsidR="001535F6" w:rsidRPr="0054784B" w:rsidRDefault="001535F6" w:rsidP="001535F6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>If ‘No’ was checked: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535F6" w:rsidRPr="0054784B" w14:paraId="2B9BCD93" w14:textId="77777777" w:rsidTr="002F3EB8">
        <w:tc>
          <w:tcPr>
            <w:tcW w:w="8856" w:type="dxa"/>
            <w:shd w:val="clear" w:color="auto" w:fill="EEECE1" w:themeFill="background2"/>
          </w:tcPr>
          <w:p w14:paraId="2E5C725B" w14:textId="77777777" w:rsidR="001535F6" w:rsidRPr="0054784B" w:rsidRDefault="001535F6" w:rsidP="002F3EB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FFBCE55" w14:textId="78152251" w:rsidR="00D0434A" w:rsidRDefault="00D0434A" w:rsidP="00D0434A">
      <w:pPr>
        <w:spacing w:after="0" w:line="360" w:lineRule="auto"/>
        <w:rPr>
          <w:rFonts w:asciiTheme="minorHAnsi" w:eastAsia="Times New Roman" w:hAnsiTheme="minorHAnsi" w:cstheme="minorHAnsi"/>
        </w:rPr>
      </w:pPr>
    </w:p>
    <w:p w14:paraId="5DD27562" w14:textId="6DEE2975" w:rsidR="0077145D" w:rsidRDefault="0077145D" w:rsidP="00D0434A">
      <w:pPr>
        <w:spacing w:after="0" w:line="360" w:lineRule="auto"/>
        <w:rPr>
          <w:rFonts w:asciiTheme="minorHAnsi" w:eastAsia="Times New Roman" w:hAnsiTheme="minorHAnsi" w:cstheme="minorHAnsi"/>
        </w:rPr>
      </w:pPr>
    </w:p>
    <w:p w14:paraId="389E6B55" w14:textId="23FFF454" w:rsidR="0077145D" w:rsidRPr="0054784B" w:rsidRDefault="0077145D" w:rsidP="0077145D">
      <w:pPr>
        <w:pStyle w:val="ListParagraph"/>
        <w:numPr>
          <w:ilvl w:val="0"/>
          <w:numId w:val="19"/>
        </w:numPr>
        <w:spacing w:before="120" w:after="240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The crosswalk markings of the roads/streets within the authority of the Entity are visible day and night lighting conditions. </w:t>
      </w:r>
    </w:p>
    <w:p w14:paraId="30886BC1" w14:textId="77777777" w:rsidR="0077145D" w:rsidRPr="0054784B" w:rsidRDefault="0077145D" w:rsidP="0077145D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No  </w:t>
      </w:r>
    </w:p>
    <w:p w14:paraId="7C9A96B6" w14:textId="77777777" w:rsidR="0077145D" w:rsidRPr="0054784B" w:rsidRDefault="0077145D" w:rsidP="0077145D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 xml:space="preserve">If ‘No’ was checked: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In Progress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Considered &amp; Declined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Taking Alternative Action</w:t>
      </w:r>
    </w:p>
    <w:p w14:paraId="5194CEE2" w14:textId="77777777" w:rsidR="0077145D" w:rsidRPr="0054784B" w:rsidRDefault="0077145D" w:rsidP="0077145D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>If ‘No’ was checked: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7145D" w:rsidRPr="0054784B" w14:paraId="08898DD8" w14:textId="77777777" w:rsidTr="002F3EB8">
        <w:tc>
          <w:tcPr>
            <w:tcW w:w="8856" w:type="dxa"/>
            <w:shd w:val="clear" w:color="auto" w:fill="EEECE1" w:themeFill="background2"/>
          </w:tcPr>
          <w:p w14:paraId="54D19D3A" w14:textId="77777777" w:rsidR="0077145D" w:rsidRPr="0054784B" w:rsidRDefault="0077145D" w:rsidP="002F3EB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0134DCB" w14:textId="13D52F5B" w:rsidR="0077145D" w:rsidRDefault="0077145D" w:rsidP="0077145D">
      <w:pPr>
        <w:spacing w:after="0" w:line="360" w:lineRule="auto"/>
        <w:rPr>
          <w:rFonts w:asciiTheme="minorHAnsi" w:eastAsia="Times New Roman" w:hAnsiTheme="minorHAnsi" w:cstheme="minorHAnsi"/>
        </w:rPr>
      </w:pPr>
    </w:p>
    <w:p w14:paraId="74867A2A" w14:textId="77777777" w:rsidR="0077145D" w:rsidRPr="00624B47" w:rsidRDefault="0077145D" w:rsidP="0077145D">
      <w:pPr>
        <w:spacing w:after="0" w:line="360" w:lineRule="auto"/>
        <w:rPr>
          <w:rFonts w:asciiTheme="minorHAnsi" w:eastAsia="Times New Roman" w:hAnsiTheme="minorHAnsi" w:cstheme="minorHAnsi"/>
        </w:rPr>
      </w:pPr>
    </w:p>
    <w:p w14:paraId="0D6924B8" w14:textId="3258D118" w:rsidR="0077145D" w:rsidRPr="0054784B" w:rsidRDefault="0077145D" w:rsidP="0077145D">
      <w:pPr>
        <w:pStyle w:val="ListParagraph"/>
        <w:numPr>
          <w:ilvl w:val="0"/>
          <w:numId w:val="19"/>
        </w:numPr>
        <w:spacing w:before="120" w:after="240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The Entity has established a process to ensure the timely response to reports of potholes, sinkholes, loose manhole cover</w:t>
      </w:r>
      <w:r w:rsidR="00A43039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 xml:space="preserve">, and other pavement damage. </w:t>
      </w:r>
    </w:p>
    <w:p w14:paraId="15B268A2" w14:textId="77777777" w:rsidR="0077145D" w:rsidRPr="0054784B" w:rsidRDefault="0077145D" w:rsidP="0077145D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No  </w:t>
      </w:r>
    </w:p>
    <w:p w14:paraId="7864D4C2" w14:textId="77777777" w:rsidR="0077145D" w:rsidRPr="0054784B" w:rsidRDefault="0077145D" w:rsidP="0077145D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 xml:space="preserve">If ‘No’ was checked: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In Progress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Considered &amp; Declined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Taking Alternative Action</w:t>
      </w:r>
    </w:p>
    <w:p w14:paraId="4F43025F" w14:textId="77777777" w:rsidR="0077145D" w:rsidRPr="0054784B" w:rsidRDefault="0077145D" w:rsidP="0077145D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>If ‘No’ was checked: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7145D" w:rsidRPr="0054784B" w14:paraId="2E87B91F" w14:textId="77777777" w:rsidTr="002F3EB8">
        <w:tc>
          <w:tcPr>
            <w:tcW w:w="8856" w:type="dxa"/>
            <w:shd w:val="clear" w:color="auto" w:fill="EEECE1" w:themeFill="background2"/>
          </w:tcPr>
          <w:p w14:paraId="58BEE5EE" w14:textId="77777777" w:rsidR="0077145D" w:rsidRPr="0054784B" w:rsidRDefault="0077145D" w:rsidP="002F3EB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7D5B60D" w14:textId="77777777" w:rsidR="0077145D" w:rsidRPr="00624B47" w:rsidRDefault="0077145D" w:rsidP="0077145D">
      <w:pPr>
        <w:spacing w:after="0" w:line="360" w:lineRule="auto"/>
        <w:rPr>
          <w:rFonts w:asciiTheme="minorHAnsi" w:eastAsia="Times New Roman" w:hAnsiTheme="minorHAnsi" w:cstheme="minorHAnsi"/>
        </w:rPr>
      </w:pPr>
    </w:p>
    <w:p w14:paraId="6358E04A" w14:textId="0832F5CD" w:rsidR="0077145D" w:rsidRDefault="0077145D" w:rsidP="0077145D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 description of the road damage report response process is available for review.</w:t>
      </w:r>
    </w:p>
    <w:p w14:paraId="63A15A76" w14:textId="77777777" w:rsidR="0077145D" w:rsidRPr="0054784B" w:rsidRDefault="0077145D" w:rsidP="0077145D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No  </w:t>
      </w:r>
    </w:p>
    <w:p w14:paraId="016E335F" w14:textId="3261B134" w:rsidR="0077145D" w:rsidRPr="0054784B" w:rsidRDefault="0077145D" w:rsidP="0077145D">
      <w:pPr>
        <w:pStyle w:val="ListParagraph"/>
        <w:numPr>
          <w:ilvl w:val="0"/>
          <w:numId w:val="19"/>
        </w:numPr>
        <w:spacing w:before="120" w:after="240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The Entity has established a process to ensure traffic and parking control signage is visible to vehicular traffic </w:t>
      </w:r>
      <w:r w:rsidR="00B06799">
        <w:rPr>
          <w:rFonts w:asciiTheme="minorHAnsi" w:hAnsiTheme="minorHAnsi" w:cstheme="minorHAnsi"/>
          <w:b/>
          <w:bCs/>
        </w:rPr>
        <w:t>(</w:t>
      </w:r>
      <w:proofErr w:type="gramStart"/>
      <w:r w:rsidR="00B06799">
        <w:rPr>
          <w:rFonts w:asciiTheme="minorHAnsi" w:hAnsiTheme="minorHAnsi" w:cstheme="minorHAnsi"/>
          <w:b/>
          <w:bCs/>
        </w:rPr>
        <w:t>i.e.</w:t>
      </w:r>
      <w:proofErr w:type="gramEnd"/>
      <w:r w:rsidR="00B06799">
        <w:rPr>
          <w:rFonts w:asciiTheme="minorHAnsi" w:hAnsiTheme="minorHAnsi" w:cstheme="minorHAnsi"/>
          <w:b/>
          <w:bCs/>
        </w:rPr>
        <w:t xml:space="preserve"> trees and shrubs are trimmed, walls, poles, billboards, and fences/walls to not pose obstructions). </w:t>
      </w:r>
    </w:p>
    <w:p w14:paraId="7BB566BA" w14:textId="77777777" w:rsidR="0077145D" w:rsidRPr="0054784B" w:rsidRDefault="0077145D" w:rsidP="0077145D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No  </w:t>
      </w:r>
    </w:p>
    <w:p w14:paraId="7932D5A5" w14:textId="77777777" w:rsidR="0077145D" w:rsidRPr="0054784B" w:rsidRDefault="0077145D" w:rsidP="0077145D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 xml:space="preserve">If ‘No’ was checked: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In Progress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Considered &amp; Declined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Taking Alternative Action</w:t>
      </w:r>
    </w:p>
    <w:p w14:paraId="2E3B0BDC" w14:textId="77777777" w:rsidR="0077145D" w:rsidRPr="0054784B" w:rsidRDefault="0077145D" w:rsidP="0077145D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>If ‘No’ was checked: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7145D" w:rsidRPr="0054784B" w14:paraId="5EC8AC19" w14:textId="77777777" w:rsidTr="002F3EB8">
        <w:tc>
          <w:tcPr>
            <w:tcW w:w="8856" w:type="dxa"/>
            <w:shd w:val="clear" w:color="auto" w:fill="EEECE1" w:themeFill="background2"/>
          </w:tcPr>
          <w:p w14:paraId="2A42C693" w14:textId="77777777" w:rsidR="0077145D" w:rsidRPr="0054784B" w:rsidRDefault="0077145D" w:rsidP="002F3EB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0C20BD5" w14:textId="68D7E7FD" w:rsidR="0077145D" w:rsidRDefault="0077145D" w:rsidP="0077145D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 description process is available for review.</w:t>
      </w:r>
    </w:p>
    <w:p w14:paraId="3F4CC8B7" w14:textId="78F1C8CE" w:rsidR="0077145D" w:rsidRDefault="0077145D" w:rsidP="0077145D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No  </w:t>
      </w:r>
    </w:p>
    <w:p w14:paraId="6EB17281" w14:textId="77777777" w:rsidR="00B06799" w:rsidRPr="0054784B" w:rsidRDefault="00B06799" w:rsidP="0077145D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</w:p>
    <w:p w14:paraId="3A65466C" w14:textId="32020F97" w:rsidR="00B06799" w:rsidRPr="0054784B" w:rsidRDefault="00B06799" w:rsidP="00B06799">
      <w:pPr>
        <w:pStyle w:val="ListParagraph"/>
        <w:numPr>
          <w:ilvl w:val="0"/>
          <w:numId w:val="19"/>
        </w:numPr>
        <w:spacing w:before="120" w:after="240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The Entity has established a process to ensure clear lines of sight are maintained for vehicular traffic and pedestrian traffic at intersections of roads, driveways</w:t>
      </w:r>
      <w:r w:rsidR="00A43039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and alleyways (</w:t>
      </w:r>
      <w:proofErr w:type="gramStart"/>
      <w:r>
        <w:rPr>
          <w:rFonts w:asciiTheme="minorHAnsi" w:hAnsiTheme="minorHAnsi" w:cstheme="minorHAnsi"/>
          <w:b/>
          <w:bCs/>
        </w:rPr>
        <w:t>i.e.</w:t>
      </w:r>
      <w:proofErr w:type="gramEnd"/>
      <w:r>
        <w:rPr>
          <w:rFonts w:asciiTheme="minorHAnsi" w:hAnsiTheme="minorHAnsi" w:cstheme="minorHAnsi"/>
          <w:b/>
          <w:bCs/>
        </w:rPr>
        <w:t xml:space="preserve"> trees and shrubs are trimmed, walls, poles, billboards, and fences/walls to not pose obstructions</w:t>
      </w:r>
      <w:r w:rsidR="00A43039">
        <w:rPr>
          <w:rFonts w:asciiTheme="minorHAnsi" w:hAnsiTheme="minorHAnsi" w:cstheme="minorHAnsi"/>
          <w:b/>
          <w:bCs/>
        </w:rPr>
        <w:t xml:space="preserve"> to lines of sign or street   lighting</w:t>
      </w:r>
      <w:r>
        <w:rPr>
          <w:rFonts w:asciiTheme="minorHAnsi" w:hAnsiTheme="minorHAnsi" w:cstheme="minorHAnsi"/>
          <w:b/>
          <w:bCs/>
        </w:rPr>
        <w:t xml:space="preserve">). </w:t>
      </w:r>
    </w:p>
    <w:p w14:paraId="5A4B6B88" w14:textId="77777777" w:rsidR="00B06799" w:rsidRPr="0054784B" w:rsidRDefault="00B06799" w:rsidP="00B06799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No  </w:t>
      </w:r>
    </w:p>
    <w:p w14:paraId="1A69397E" w14:textId="77777777" w:rsidR="00B06799" w:rsidRPr="0054784B" w:rsidRDefault="00B06799" w:rsidP="00B06799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 xml:space="preserve">If ‘No’ was checked: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In Progress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Considered &amp; Declined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Taking Alternative Action</w:t>
      </w:r>
    </w:p>
    <w:p w14:paraId="51CF5EA1" w14:textId="77777777" w:rsidR="00B06799" w:rsidRPr="0054784B" w:rsidRDefault="00B06799" w:rsidP="00B06799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>If ‘No’ was checked: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06799" w:rsidRPr="0054784B" w14:paraId="6BF79B62" w14:textId="77777777" w:rsidTr="002F3EB8">
        <w:tc>
          <w:tcPr>
            <w:tcW w:w="8856" w:type="dxa"/>
            <w:shd w:val="clear" w:color="auto" w:fill="EEECE1" w:themeFill="background2"/>
          </w:tcPr>
          <w:p w14:paraId="1B6E27BF" w14:textId="77777777" w:rsidR="00B06799" w:rsidRPr="0054784B" w:rsidRDefault="00B06799" w:rsidP="002F3EB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510E601" w14:textId="77777777" w:rsidR="00B06799" w:rsidRDefault="00B06799" w:rsidP="00B06799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 description process is available for review.</w:t>
      </w:r>
    </w:p>
    <w:p w14:paraId="44548151" w14:textId="77777777" w:rsidR="00B06799" w:rsidRPr="0054784B" w:rsidRDefault="00B06799" w:rsidP="00B06799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No  </w:t>
      </w:r>
    </w:p>
    <w:p w14:paraId="64B96D2E" w14:textId="7D6B4630" w:rsidR="0077145D" w:rsidRDefault="0077145D" w:rsidP="00D0434A">
      <w:pPr>
        <w:spacing w:after="0" w:line="360" w:lineRule="auto"/>
        <w:rPr>
          <w:rFonts w:asciiTheme="minorHAnsi" w:eastAsia="Times New Roman" w:hAnsiTheme="minorHAnsi" w:cstheme="minorHAnsi"/>
        </w:rPr>
      </w:pPr>
    </w:p>
    <w:p w14:paraId="1770A3D7" w14:textId="574A2115" w:rsidR="00B06799" w:rsidRDefault="00B06799" w:rsidP="00D0434A">
      <w:pPr>
        <w:spacing w:after="0" w:line="360" w:lineRule="auto"/>
        <w:rPr>
          <w:rFonts w:asciiTheme="minorHAnsi" w:eastAsia="Times New Roman" w:hAnsiTheme="minorHAnsi" w:cstheme="minorHAnsi"/>
        </w:rPr>
      </w:pPr>
    </w:p>
    <w:p w14:paraId="333C6F0D" w14:textId="701D6281" w:rsidR="00B06799" w:rsidRPr="0054784B" w:rsidRDefault="00B06799" w:rsidP="00B06799">
      <w:pPr>
        <w:pStyle w:val="ListParagraph"/>
        <w:numPr>
          <w:ilvl w:val="0"/>
          <w:numId w:val="19"/>
        </w:numPr>
        <w:spacing w:before="120" w:after="240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The Entity has established a process to ensure that road/street signage is in place and </w:t>
      </w:r>
      <w:r w:rsidR="00A43039">
        <w:rPr>
          <w:rFonts w:asciiTheme="minorHAnsi" w:hAnsiTheme="minorHAnsi" w:cstheme="minorHAnsi"/>
          <w:b/>
          <w:bCs/>
        </w:rPr>
        <w:t>is maintained in</w:t>
      </w:r>
      <w:r>
        <w:rPr>
          <w:rFonts w:asciiTheme="minorHAnsi" w:hAnsiTheme="minorHAnsi" w:cstheme="minorHAnsi"/>
          <w:b/>
          <w:bCs/>
        </w:rPr>
        <w:t xml:space="preserve"> a condition that meets </w:t>
      </w:r>
      <w:r w:rsidR="0087256D">
        <w:rPr>
          <w:rFonts w:asciiTheme="minorHAnsi" w:hAnsiTheme="minorHAnsi" w:cstheme="minorHAnsi"/>
          <w:b/>
          <w:bCs/>
        </w:rPr>
        <w:t xml:space="preserve">Entity, County, State, and Federal signage regulations. 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307D0C75" w14:textId="77777777" w:rsidR="00B06799" w:rsidRPr="0054784B" w:rsidRDefault="00B06799" w:rsidP="00B06799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No  </w:t>
      </w:r>
    </w:p>
    <w:p w14:paraId="4853A9F6" w14:textId="77777777" w:rsidR="00B06799" w:rsidRPr="0054784B" w:rsidRDefault="00B06799" w:rsidP="00B06799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lastRenderedPageBreak/>
        <w:t xml:space="preserve">If ‘No’ was checked: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In Progress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Considered &amp; Declined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Taking Alternative Action</w:t>
      </w:r>
    </w:p>
    <w:p w14:paraId="4CAC2AD1" w14:textId="77777777" w:rsidR="00B06799" w:rsidRPr="0054784B" w:rsidRDefault="00B06799" w:rsidP="00B06799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t>If ‘No’ was checked:  Provide narrative details to support response.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06799" w:rsidRPr="0054784B" w14:paraId="2DF77C2B" w14:textId="77777777" w:rsidTr="002F3EB8">
        <w:tc>
          <w:tcPr>
            <w:tcW w:w="8856" w:type="dxa"/>
            <w:shd w:val="clear" w:color="auto" w:fill="EEECE1" w:themeFill="background2"/>
          </w:tcPr>
          <w:p w14:paraId="03F375B6" w14:textId="77777777" w:rsidR="00B06799" w:rsidRPr="0054784B" w:rsidRDefault="00B06799" w:rsidP="002F3EB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A63482E" w14:textId="77777777" w:rsidR="00B06799" w:rsidRDefault="00B06799" w:rsidP="00B06799">
      <w:pPr>
        <w:spacing w:before="120" w:after="240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 description process is available for review.</w:t>
      </w:r>
    </w:p>
    <w:p w14:paraId="1DD4B5ED" w14:textId="77777777" w:rsidR="00B06799" w:rsidRPr="0054784B" w:rsidRDefault="00B06799" w:rsidP="00B06799">
      <w:pPr>
        <w:spacing w:before="120" w:after="240"/>
        <w:ind w:left="720"/>
        <w:jc w:val="both"/>
        <w:rPr>
          <w:rFonts w:asciiTheme="minorHAnsi" w:eastAsia="Times New Roman" w:hAnsiTheme="minorHAnsi" w:cstheme="minorHAnsi"/>
        </w:rPr>
      </w:pP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Yes  </w:t>
      </w:r>
      <w:r w:rsidRPr="0054784B">
        <w:rPr>
          <w:rFonts w:asciiTheme="minorHAnsi" w:eastAsia="Times New Roman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784B">
        <w:rPr>
          <w:rFonts w:asciiTheme="minorHAnsi" w:eastAsia="Times New Roman" w:hAnsiTheme="minorHAnsi" w:cstheme="minorHAnsi"/>
        </w:rPr>
        <w:instrText xml:space="preserve"> FORMCHECKBOX </w:instrText>
      </w:r>
      <w:r w:rsidR="007715A8">
        <w:rPr>
          <w:rFonts w:asciiTheme="minorHAnsi" w:eastAsia="Times New Roman" w:hAnsiTheme="minorHAnsi" w:cstheme="minorHAnsi"/>
        </w:rPr>
      </w:r>
      <w:r w:rsidR="007715A8">
        <w:rPr>
          <w:rFonts w:asciiTheme="minorHAnsi" w:eastAsia="Times New Roman" w:hAnsiTheme="minorHAnsi" w:cstheme="minorHAnsi"/>
        </w:rPr>
        <w:fldChar w:fldCharType="separate"/>
      </w:r>
      <w:r w:rsidRPr="0054784B">
        <w:rPr>
          <w:rFonts w:asciiTheme="minorHAnsi" w:eastAsia="Times New Roman" w:hAnsiTheme="minorHAnsi" w:cstheme="minorHAnsi"/>
        </w:rPr>
        <w:fldChar w:fldCharType="end"/>
      </w:r>
      <w:r w:rsidRPr="0054784B">
        <w:rPr>
          <w:rFonts w:asciiTheme="minorHAnsi" w:eastAsia="Times New Roman" w:hAnsiTheme="minorHAnsi" w:cstheme="minorHAnsi"/>
        </w:rPr>
        <w:t xml:space="preserve"> No  </w:t>
      </w:r>
    </w:p>
    <w:p w14:paraId="51E40263" w14:textId="77777777" w:rsidR="00B06799" w:rsidRPr="00624B47" w:rsidRDefault="00B06799" w:rsidP="00D0434A">
      <w:pPr>
        <w:spacing w:after="0" w:line="360" w:lineRule="auto"/>
        <w:rPr>
          <w:rFonts w:asciiTheme="minorHAnsi" w:eastAsia="Times New Roman" w:hAnsiTheme="minorHAnsi" w:cstheme="minorHAnsi"/>
        </w:rPr>
      </w:pPr>
    </w:p>
    <w:sectPr w:rsidR="00B06799" w:rsidRPr="00624B47" w:rsidSect="00DB753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C67B" w14:textId="77777777" w:rsidR="0082323E" w:rsidRDefault="0082323E" w:rsidP="00357306">
      <w:pPr>
        <w:spacing w:after="0" w:line="240" w:lineRule="auto"/>
      </w:pPr>
      <w:r>
        <w:separator/>
      </w:r>
    </w:p>
  </w:endnote>
  <w:endnote w:type="continuationSeparator" w:id="0">
    <w:p w14:paraId="53663AC8" w14:textId="77777777" w:rsidR="0082323E" w:rsidRDefault="0082323E" w:rsidP="0035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082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3E475" w14:textId="77777777" w:rsidR="00F23DDD" w:rsidRDefault="00F23DDD" w:rsidP="00F23D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180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08B702" w14:textId="77777777" w:rsidR="00F23DDD" w:rsidRDefault="00F23D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47EE" w14:textId="77777777" w:rsidR="0082323E" w:rsidRDefault="0082323E" w:rsidP="00357306">
      <w:pPr>
        <w:spacing w:after="0" w:line="240" w:lineRule="auto"/>
      </w:pPr>
      <w:r>
        <w:separator/>
      </w:r>
    </w:p>
  </w:footnote>
  <w:footnote w:type="continuationSeparator" w:id="0">
    <w:p w14:paraId="2E47A907" w14:textId="77777777" w:rsidR="0082323E" w:rsidRDefault="0082323E" w:rsidP="0035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2B3A" w14:textId="77777777" w:rsidR="00127ED7" w:rsidRDefault="007715A8">
    <w:pPr>
      <w:pStyle w:val="Header"/>
    </w:pPr>
    <w:r>
      <w:rPr>
        <w:noProof/>
      </w:rPr>
      <w:pict w14:anchorId="284B55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2207110" o:spid="_x0000_s2050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198F" w14:textId="6DFA0289" w:rsidR="00670078" w:rsidRPr="00BD5765" w:rsidRDefault="00495088" w:rsidP="00670078">
    <w:pPr>
      <w:pStyle w:val="Header"/>
    </w:pPr>
    <w:r w:rsidRPr="00BD5765">
      <w:t xml:space="preserve">Focused Assessment – </w:t>
    </w:r>
    <w:r w:rsidR="00BD5765" w:rsidRPr="00BD5765">
      <w:t>Road/Street Maintenance</w:t>
    </w:r>
  </w:p>
  <w:p w14:paraId="3927C6C3" w14:textId="64136B19" w:rsidR="00495088" w:rsidRPr="00DB7538" w:rsidRDefault="00495088" w:rsidP="005063F3">
    <w:pPr>
      <w:pStyle w:val="Header"/>
      <w:spacing w:after="120"/>
      <w:rPr>
        <w:szCs w:val="20"/>
      </w:rPr>
    </w:pPr>
    <w:r w:rsidRPr="00DB7538">
      <w:rPr>
        <w:szCs w:val="20"/>
      </w:rPr>
      <w:t>Entity: ____________________________</w:t>
    </w:r>
  </w:p>
  <w:p w14:paraId="4600FCC8" w14:textId="77777777" w:rsidR="00495088" w:rsidRPr="00DB7538" w:rsidRDefault="00495088" w:rsidP="005063F3">
    <w:pPr>
      <w:pStyle w:val="Header"/>
      <w:spacing w:after="120"/>
      <w:rPr>
        <w:szCs w:val="20"/>
      </w:rPr>
    </w:pPr>
    <w:r w:rsidRPr="00DB7538">
      <w:rPr>
        <w:szCs w:val="20"/>
      </w:rPr>
      <w:t>Date: _______________________</w:t>
    </w:r>
  </w:p>
  <w:p w14:paraId="2EEE6B9C" w14:textId="77777777" w:rsidR="00357306" w:rsidRDefault="00357306" w:rsidP="005063F3">
    <w:pPr>
      <w:pStyle w:val="Header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6"/>
      <w:gridCol w:w="3147"/>
      <w:gridCol w:w="3107"/>
    </w:tblGrid>
    <w:tr w:rsidR="00DB7538" w14:paraId="28DE545E" w14:textId="77777777" w:rsidTr="0018185E">
      <w:tc>
        <w:tcPr>
          <w:tcW w:w="3192" w:type="dxa"/>
        </w:tcPr>
        <w:p w14:paraId="5847C6F4" w14:textId="77777777" w:rsidR="00DB7538" w:rsidRDefault="00DB7538" w:rsidP="0018185E">
          <w:pPr>
            <w:pStyle w:val="Header"/>
          </w:pPr>
        </w:p>
      </w:tc>
      <w:tc>
        <w:tcPr>
          <w:tcW w:w="3192" w:type="dxa"/>
        </w:tcPr>
        <w:p w14:paraId="54A87134" w14:textId="77777777" w:rsidR="00DB7538" w:rsidRDefault="00DB7538" w:rsidP="0018185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D1120FB" wp14:editId="452B1CA4">
                <wp:extent cx="895985" cy="835025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835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</w:tcPr>
        <w:p w14:paraId="5D0BCDAD" w14:textId="77777777" w:rsidR="00DB7538" w:rsidRDefault="00DB7538" w:rsidP="0018185E">
          <w:pPr>
            <w:pStyle w:val="Header"/>
          </w:pPr>
        </w:p>
      </w:tc>
    </w:tr>
  </w:tbl>
  <w:p w14:paraId="04D64C0A" w14:textId="77777777" w:rsidR="00670078" w:rsidRDefault="00C02B2C" w:rsidP="00DB753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Liability</w:t>
    </w:r>
    <w:r w:rsidR="00AB55B9">
      <w:rPr>
        <w:b/>
        <w:sz w:val="28"/>
        <w:szCs w:val="28"/>
      </w:rPr>
      <w:t xml:space="preserve"> </w:t>
    </w:r>
    <w:r w:rsidR="00DB7538" w:rsidRPr="00B436DD">
      <w:rPr>
        <w:b/>
        <w:sz w:val="28"/>
        <w:szCs w:val="28"/>
      </w:rPr>
      <w:t xml:space="preserve">Focused Assessment – </w:t>
    </w:r>
  </w:p>
  <w:p w14:paraId="745770EA" w14:textId="71C26629" w:rsidR="00DB7538" w:rsidRDefault="00BD5765" w:rsidP="00DB753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Road/Street Maintenance</w:t>
    </w:r>
  </w:p>
  <w:p w14:paraId="5993A7E2" w14:textId="77777777" w:rsidR="00DB7538" w:rsidRPr="001C2A23" w:rsidRDefault="00DB7538" w:rsidP="00DB7538">
    <w:r w:rsidRPr="001C2A23">
      <w:t>Entity: _________________________</w:t>
    </w:r>
  </w:p>
  <w:p w14:paraId="109C7214" w14:textId="77777777" w:rsidR="00DB7538" w:rsidRPr="001C2A23" w:rsidRDefault="00DB7538" w:rsidP="00DB7538">
    <w:r w:rsidRPr="001C2A23">
      <w:t xml:space="preserve">Date: ____________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F6D"/>
    <w:multiLevelType w:val="hybridMultilevel"/>
    <w:tmpl w:val="5624FA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347"/>
    <w:multiLevelType w:val="hybridMultilevel"/>
    <w:tmpl w:val="ED0C675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7F026D5"/>
    <w:multiLevelType w:val="hybridMultilevel"/>
    <w:tmpl w:val="DE4C8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217ABE"/>
    <w:multiLevelType w:val="hybridMultilevel"/>
    <w:tmpl w:val="1920623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8717583"/>
    <w:multiLevelType w:val="hybridMultilevel"/>
    <w:tmpl w:val="A348743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C32091D"/>
    <w:multiLevelType w:val="hybridMultilevel"/>
    <w:tmpl w:val="46AA7C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410150"/>
    <w:multiLevelType w:val="hybridMultilevel"/>
    <w:tmpl w:val="1920623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FCA5B96"/>
    <w:multiLevelType w:val="hybridMultilevel"/>
    <w:tmpl w:val="41A00770"/>
    <w:lvl w:ilvl="0" w:tplc="FBA226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64B87"/>
    <w:multiLevelType w:val="hybridMultilevel"/>
    <w:tmpl w:val="1920623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E873231"/>
    <w:multiLevelType w:val="hybridMultilevel"/>
    <w:tmpl w:val="1920623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F197158"/>
    <w:multiLevelType w:val="hybridMultilevel"/>
    <w:tmpl w:val="1920623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0D97B50"/>
    <w:multiLevelType w:val="hybridMultilevel"/>
    <w:tmpl w:val="1920623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1E405E7"/>
    <w:multiLevelType w:val="hybridMultilevel"/>
    <w:tmpl w:val="1920623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0D71853"/>
    <w:multiLevelType w:val="hybridMultilevel"/>
    <w:tmpl w:val="CA4A26EE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53885CFB"/>
    <w:multiLevelType w:val="hybridMultilevel"/>
    <w:tmpl w:val="1920623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F902C29"/>
    <w:multiLevelType w:val="hybridMultilevel"/>
    <w:tmpl w:val="19ECDA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B876D0"/>
    <w:multiLevelType w:val="hybridMultilevel"/>
    <w:tmpl w:val="1920623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A5A2E74"/>
    <w:multiLevelType w:val="hybridMultilevel"/>
    <w:tmpl w:val="1920623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EF560DE"/>
    <w:multiLevelType w:val="hybridMultilevel"/>
    <w:tmpl w:val="DF5A2E2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481118375">
    <w:abstractNumId w:val="10"/>
  </w:num>
  <w:num w:numId="2" w16cid:durableId="620260071">
    <w:abstractNumId w:val="0"/>
  </w:num>
  <w:num w:numId="3" w16cid:durableId="1584606702">
    <w:abstractNumId w:val="18"/>
  </w:num>
  <w:num w:numId="4" w16cid:durableId="1278485777">
    <w:abstractNumId w:val="13"/>
  </w:num>
  <w:num w:numId="5" w16cid:durableId="913465342">
    <w:abstractNumId w:val="12"/>
  </w:num>
  <w:num w:numId="6" w16cid:durableId="945767545">
    <w:abstractNumId w:val="6"/>
  </w:num>
  <w:num w:numId="7" w16cid:durableId="125054282">
    <w:abstractNumId w:val="8"/>
  </w:num>
  <w:num w:numId="8" w16cid:durableId="2073767086">
    <w:abstractNumId w:val="9"/>
  </w:num>
  <w:num w:numId="9" w16cid:durableId="1688942830">
    <w:abstractNumId w:val="3"/>
  </w:num>
  <w:num w:numId="10" w16cid:durableId="64304725">
    <w:abstractNumId w:val="16"/>
  </w:num>
  <w:num w:numId="11" w16cid:durableId="583149922">
    <w:abstractNumId w:val="1"/>
  </w:num>
  <w:num w:numId="12" w16cid:durableId="1433817439">
    <w:abstractNumId w:val="17"/>
  </w:num>
  <w:num w:numId="13" w16cid:durableId="1169901722">
    <w:abstractNumId w:val="14"/>
  </w:num>
  <w:num w:numId="14" w16cid:durableId="1204828241">
    <w:abstractNumId w:val="4"/>
  </w:num>
  <w:num w:numId="15" w16cid:durableId="129134938">
    <w:abstractNumId w:val="7"/>
  </w:num>
  <w:num w:numId="16" w16cid:durableId="97261182">
    <w:abstractNumId w:val="15"/>
  </w:num>
  <w:num w:numId="17" w16cid:durableId="550114915">
    <w:abstractNumId w:val="11"/>
  </w:num>
  <w:num w:numId="18" w16cid:durableId="1354837930">
    <w:abstractNumId w:val="5"/>
  </w:num>
  <w:num w:numId="19" w16cid:durableId="211312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FF"/>
    <w:rsid w:val="00000328"/>
    <w:rsid w:val="000F59FF"/>
    <w:rsid w:val="0011032F"/>
    <w:rsid w:val="00127ED7"/>
    <w:rsid w:val="001535F6"/>
    <w:rsid w:val="001D2D29"/>
    <w:rsid w:val="00204201"/>
    <w:rsid w:val="00213886"/>
    <w:rsid w:val="002F5197"/>
    <w:rsid w:val="00300CCA"/>
    <w:rsid w:val="00302622"/>
    <w:rsid w:val="00357306"/>
    <w:rsid w:val="00410665"/>
    <w:rsid w:val="00416AD7"/>
    <w:rsid w:val="00440EBB"/>
    <w:rsid w:val="00473568"/>
    <w:rsid w:val="00495088"/>
    <w:rsid w:val="005063F3"/>
    <w:rsid w:val="00521D79"/>
    <w:rsid w:val="00530893"/>
    <w:rsid w:val="005413D8"/>
    <w:rsid w:val="0054784B"/>
    <w:rsid w:val="00547B55"/>
    <w:rsid w:val="005502F0"/>
    <w:rsid w:val="00576FF3"/>
    <w:rsid w:val="005C266E"/>
    <w:rsid w:val="005E1064"/>
    <w:rsid w:val="005E1A09"/>
    <w:rsid w:val="0061184A"/>
    <w:rsid w:val="006142F6"/>
    <w:rsid w:val="00624B47"/>
    <w:rsid w:val="00624ED7"/>
    <w:rsid w:val="00670078"/>
    <w:rsid w:val="006B036A"/>
    <w:rsid w:val="007600B8"/>
    <w:rsid w:val="0077145D"/>
    <w:rsid w:val="007715A8"/>
    <w:rsid w:val="007F3A27"/>
    <w:rsid w:val="008110BC"/>
    <w:rsid w:val="0082323E"/>
    <w:rsid w:val="0087256D"/>
    <w:rsid w:val="008725F7"/>
    <w:rsid w:val="00877E53"/>
    <w:rsid w:val="008903F3"/>
    <w:rsid w:val="009023BC"/>
    <w:rsid w:val="009223C2"/>
    <w:rsid w:val="009C0C61"/>
    <w:rsid w:val="00A138F5"/>
    <w:rsid w:val="00A23F71"/>
    <w:rsid w:val="00A2459F"/>
    <w:rsid w:val="00A43039"/>
    <w:rsid w:val="00A62F44"/>
    <w:rsid w:val="00AB55B9"/>
    <w:rsid w:val="00AE483D"/>
    <w:rsid w:val="00AF4B40"/>
    <w:rsid w:val="00B04D0B"/>
    <w:rsid w:val="00B06799"/>
    <w:rsid w:val="00B3008A"/>
    <w:rsid w:val="00B44EB4"/>
    <w:rsid w:val="00BA156A"/>
    <w:rsid w:val="00BD5765"/>
    <w:rsid w:val="00BF5889"/>
    <w:rsid w:val="00C02B2C"/>
    <w:rsid w:val="00C83BC2"/>
    <w:rsid w:val="00CE1447"/>
    <w:rsid w:val="00D0434A"/>
    <w:rsid w:val="00D57AEA"/>
    <w:rsid w:val="00D6624F"/>
    <w:rsid w:val="00DB7538"/>
    <w:rsid w:val="00E31097"/>
    <w:rsid w:val="00F23DDD"/>
    <w:rsid w:val="00F30144"/>
    <w:rsid w:val="00FE600E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EC9D421"/>
  <w15:docId w15:val="{C8336E6F-1A9C-4006-9200-D53ADC9F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06"/>
  </w:style>
  <w:style w:type="paragraph" w:styleId="Footer">
    <w:name w:val="footer"/>
    <w:basedOn w:val="Normal"/>
    <w:link w:val="FooterChar"/>
    <w:uiPriority w:val="99"/>
    <w:unhideWhenUsed/>
    <w:rsid w:val="0035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306"/>
  </w:style>
  <w:style w:type="table" w:styleId="TableGrid">
    <w:name w:val="Table Grid"/>
    <w:basedOn w:val="TableNormal"/>
    <w:uiPriority w:val="59"/>
    <w:rsid w:val="00DB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DD40-EBAB-49FE-85D4-E096C170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Risk Services Group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Zeigler</dc:creator>
  <cp:lastModifiedBy>Taylor, Bill</cp:lastModifiedBy>
  <cp:revision>2</cp:revision>
  <cp:lastPrinted>2020-01-27T18:06:00Z</cp:lastPrinted>
  <dcterms:created xsi:type="dcterms:W3CDTF">2023-06-30T17:20:00Z</dcterms:created>
  <dcterms:modified xsi:type="dcterms:W3CDTF">2023-06-30T17:20:00Z</dcterms:modified>
</cp:coreProperties>
</file>